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900"/>
        <w:gridCol w:w="2449"/>
        <w:gridCol w:w="1729"/>
        <w:gridCol w:w="1942"/>
        <w:gridCol w:w="1544"/>
      </w:tblGrid>
      <w:tr w:rsidR="007C1BB4" w:rsidRPr="002A70BF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Edição</w:t>
            </w:r>
          </w:p>
        </w:tc>
        <w:tc>
          <w:tcPr>
            <w:tcW w:w="2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Alteração</w:t>
            </w:r>
          </w:p>
        </w:tc>
        <w:tc>
          <w:tcPr>
            <w:tcW w:w="17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Elaborado</w:t>
            </w:r>
          </w:p>
        </w:tc>
        <w:tc>
          <w:tcPr>
            <w:tcW w:w="1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Verificado</w:t>
            </w: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Aprovado</w:t>
            </w:r>
          </w:p>
        </w:tc>
      </w:tr>
      <w:tr w:rsidR="007C1BB4" w:rsidRPr="002A70BF" w:rsidTr="002A70BF">
        <w:trPr>
          <w:trHeight w:val="213"/>
        </w:trPr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F31A99" w:rsidP="00F31A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</w:t>
            </w:r>
            <w:r w:rsidR="00F02CE1" w:rsidRPr="002A70BF">
              <w:rPr>
                <w:rFonts w:ascii="Arial" w:hAnsi="Arial" w:cs="Arial"/>
                <w:sz w:val="20"/>
                <w:szCs w:val="20"/>
              </w:rPr>
              <w:t>/</w:t>
            </w:r>
            <w:r w:rsidR="00077A7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49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F02CE1" w:rsidP="002A70BF">
            <w:pPr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Primeira emissão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F7530E" w:rsidP="002A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SEFIS/DEA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1BB4" w:rsidRPr="002A70BF" w:rsidRDefault="007C1BB4" w:rsidP="002A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62F" w:rsidRDefault="0077262F" w:rsidP="002A70BF">
      <w:pPr>
        <w:jc w:val="both"/>
        <w:rPr>
          <w:rFonts w:ascii="Arial" w:hAnsi="Arial" w:cs="Arial"/>
          <w:sz w:val="22"/>
          <w:szCs w:val="22"/>
        </w:rPr>
      </w:pPr>
    </w:p>
    <w:p w:rsidR="002A70BF" w:rsidRPr="0077262F" w:rsidRDefault="002A70BF" w:rsidP="002A70BF">
      <w:pPr>
        <w:jc w:val="both"/>
        <w:rPr>
          <w:rFonts w:ascii="Arial" w:hAnsi="Arial" w:cs="Arial"/>
          <w:sz w:val="22"/>
          <w:szCs w:val="22"/>
        </w:rPr>
      </w:pPr>
    </w:p>
    <w:p w:rsidR="0077262F" w:rsidRPr="0045349B" w:rsidRDefault="0077262F" w:rsidP="00801D4A">
      <w:pPr>
        <w:widowControl w:val="0"/>
        <w:pBdr>
          <w:bottom w:val="single" w:sz="4" w:space="1" w:color="000000"/>
        </w:pBdr>
        <w:tabs>
          <w:tab w:val="left" w:pos="0"/>
          <w:tab w:val="left" w:pos="2316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>1. O</w:t>
      </w:r>
      <w:r w:rsidR="0045349B" w:rsidRPr="0045349B">
        <w:rPr>
          <w:rFonts w:ascii="Arial" w:hAnsi="Arial" w:cs="Arial"/>
          <w:b/>
          <w:sz w:val="32"/>
          <w:szCs w:val="32"/>
        </w:rPr>
        <w:t>bjetivo</w:t>
      </w:r>
      <w:r w:rsidR="00801D4A">
        <w:rPr>
          <w:rFonts w:ascii="Arial" w:hAnsi="Arial" w:cs="Arial"/>
          <w:b/>
          <w:sz w:val="32"/>
          <w:szCs w:val="32"/>
        </w:rPr>
        <w:tab/>
      </w:r>
    </w:p>
    <w:p w:rsidR="007C1BB4" w:rsidRPr="0077262F" w:rsidRDefault="007C1BB4" w:rsidP="002A70BF">
      <w:pPr>
        <w:jc w:val="both"/>
        <w:rPr>
          <w:rFonts w:ascii="Arial" w:eastAsia="Calibri" w:hAnsi="Arial" w:cs="Arial"/>
          <w:sz w:val="22"/>
          <w:szCs w:val="22"/>
        </w:rPr>
      </w:pPr>
      <w:r w:rsidRPr="0077262F">
        <w:rPr>
          <w:rFonts w:ascii="Arial" w:eastAsia="Calibri" w:hAnsi="Arial" w:cs="Arial"/>
          <w:sz w:val="22"/>
          <w:szCs w:val="22"/>
        </w:rPr>
        <w:tab/>
      </w:r>
    </w:p>
    <w:p w:rsidR="005B5913" w:rsidRDefault="007C1BB4" w:rsidP="002A70BF">
      <w:pPr>
        <w:jc w:val="both"/>
        <w:rPr>
          <w:rFonts w:ascii="Arial" w:eastAsia="Calibri" w:hAnsi="Arial" w:cs="Arial"/>
          <w:sz w:val="22"/>
          <w:szCs w:val="22"/>
        </w:rPr>
      </w:pPr>
      <w:r w:rsidRPr="0077262F">
        <w:rPr>
          <w:rFonts w:ascii="Arial" w:eastAsia="Calibri" w:hAnsi="Arial" w:cs="Arial"/>
          <w:sz w:val="22"/>
          <w:szCs w:val="22"/>
        </w:rPr>
        <w:tab/>
      </w:r>
    </w:p>
    <w:p w:rsidR="001B0A99" w:rsidRPr="001B0A99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O presente caderno de especificações técnicas tem por objetivo descrever as características básicas das instalações de Telemática, ou Comunicação de Dados e Voz/Telefone propostas nos projetos que nortearão a </w:t>
      </w:r>
      <w:r w:rsidR="00575295">
        <w:rPr>
          <w:rFonts w:ascii="Arial" w:eastAsia="Calibri" w:hAnsi="Arial" w:cs="Arial"/>
          <w:sz w:val="22"/>
          <w:szCs w:val="22"/>
        </w:rPr>
        <w:t>construção</w:t>
      </w:r>
      <w:r w:rsidRPr="001B0A99">
        <w:rPr>
          <w:rFonts w:ascii="Arial" w:eastAsia="Calibri" w:hAnsi="Arial" w:cs="Arial"/>
          <w:sz w:val="22"/>
          <w:szCs w:val="22"/>
        </w:rPr>
        <w:t xml:space="preserve"> d</w:t>
      </w:r>
      <w:r w:rsidR="00575295">
        <w:rPr>
          <w:rFonts w:ascii="Arial" w:eastAsia="Calibri" w:hAnsi="Arial" w:cs="Arial"/>
          <w:sz w:val="22"/>
          <w:szCs w:val="22"/>
        </w:rPr>
        <w:t>as</w:t>
      </w:r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r w:rsidR="00112115">
        <w:rPr>
          <w:rFonts w:ascii="Arial" w:eastAsia="Calibri" w:hAnsi="Arial" w:cs="Arial"/>
          <w:sz w:val="22"/>
          <w:szCs w:val="22"/>
        </w:rPr>
        <w:t>Edificações da Reestruturação do Setor Policial Sul – Etapa I</w:t>
      </w:r>
      <w:r w:rsidRPr="001B0A99">
        <w:rPr>
          <w:rFonts w:ascii="Arial" w:eastAsia="Calibri" w:hAnsi="Arial" w:cs="Arial"/>
          <w:sz w:val="22"/>
          <w:szCs w:val="22"/>
        </w:rPr>
        <w:t>.</w:t>
      </w:r>
    </w:p>
    <w:p w:rsidR="001B0A99" w:rsidRPr="001B0A99" w:rsidRDefault="001B0A99" w:rsidP="001B0A99">
      <w:pPr>
        <w:jc w:val="both"/>
        <w:rPr>
          <w:rFonts w:ascii="Arial" w:eastAsia="Calibri" w:hAnsi="Arial" w:cs="Arial"/>
          <w:sz w:val="22"/>
          <w:szCs w:val="22"/>
        </w:rPr>
      </w:pPr>
    </w:p>
    <w:p w:rsidR="00E9729E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Este documento foi elaborado tendo como referência principalmente as publicações da TIA/EIA (Telecommunications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Industry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Association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/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Electronic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Industries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Association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dos Estados Unidos, ISO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International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Standard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Organization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e da BICSI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Building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Industry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Consulting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Service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International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e ABNT (Associação Brasileira de Normas Técnicas).</w:t>
      </w:r>
    </w:p>
    <w:p w:rsidR="006D7CF0" w:rsidRPr="0077262F" w:rsidRDefault="006D7CF0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7C1BB4" w:rsidRPr="0045349B" w:rsidRDefault="0077262F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2. </w:t>
      </w:r>
      <w:r w:rsidR="001B0A99">
        <w:rPr>
          <w:rFonts w:ascii="Arial" w:hAnsi="Arial" w:cs="Arial"/>
          <w:b/>
          <w:sz w:val="32"/>
          <w:szCs w:val="32"/>
        </w:rPr>
        <w:t>Disposições Gerais</w:t>
      </w:r>
    </w:p>
    <w:p w:rsidR="002A70BF" w:rsidRDefault="002A70BF" w:rsidP="002A70BF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:rsidR="005B5913" w:rsidRDefault="005B5913" w:rsidP="002A70BF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Os serviços contratados serão executados, rigorosamente, de acordo com este Caderno de Especificações Técnicas e com os documentos nele referidos especialmente as Normas Técnicas vigentes, as especificações de materiais e equipamentos descritos e os Projetos em anexo;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Todos os materiais, salvo o disposto em contrário nestas especificações, s</w:t>
      </w:r>
      <w:r w:rsidR="00DB22FD">
        <w:rPr>
          <w:rFonts w:ascii="Arial" w:hAnsi="Arial" w:cs="Arial"/>
          <w:sz w:val="22"/>
          <w:szCs w:val="22"/>
          <w:lang w:eastAsia="pt-BR"/>
        </w:rPr>
        <w:t>erão fornecidos pela CONTRATADA.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 mão de obra, salvo o disposto em contrário nestas especificações,</w:t>
      </w:r>
      <w:r w:rsidR="00DB22FD">
        <w:rPr>
          <w:rFonts w:ascii="Arial" w:hAnsi="Arial" w:cs="Arial"/>
          <w:sz w:val="22"/>
          <w:szCs w:val="22"/>
          <w:lang w:eastAsia="pt-BR"/>
        </w:rPr>
        <w:t xml:space="preserve"> será fornecido pela CONTRATADA.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Serão impugnados pela Fiscalização, todos os trabalhos que não sati</w:t>
      </w:r>
      <w:r w:rsidR="00DB22FD">
        <w:rPr>
          <w:rFonts w:ascii="Arial" w:hAnsi="Arial" w:cs="Arial"/>
          <w:sz w:val="22"/>
          <w:szCs w:val="22"/>
          <w:lang w:eastAsia="pt-BR"/>
        </w:rPr>
        <w:t>sfaçam às condições contratuais.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6D7CF0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Ficará a CONTRATADA obrigada a refazer os trabalhos impugnados logo após a comunicação por escrito da Fiscalização, ficando por sua conta exclusiva, as despesas decorrentes dessas providências.</w:t>
      </w:r>
    </w:p>
    <w:p w:rsidR="00DB22FD" w:rsidRDefault="00DB22FD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DB22FD" w:rsidRPr="00DB22FD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DB22FD">
        <w:rPr>
          <w:rFonts w:ascii="Arial" w:hAnsi="Arial" w:cs="Arial"/>
          <w:sz w:val="22"/>
          <w:szCs w:val="22"/>
          <w:lang w:eastAsia="pt-BR"/>
        </w:rPr>
        <w:t>A CONTRATADA apresentará, antes de iniciar o serviço, a devida Anotação de Responsabilidade Técnica (ART) pe</w:t>
      </w:r>
      <w:r>
        <w:rPr>
          <w:rFonts w:ascii="Arial" w:hAnsi="Arial" w:cs="Arial"/>
          <w:sz w:val="22"/>
          <w:szCs w:val="22"/>
          <w:lang w:eastAsia="pt-BR"/>
        </w:rPr>
        <w:t>la execução, registrada no CREA.</w:t>
      </w:r>
    </w:p>
    <w:p w:rsidR="00DB22FD" w:rsidRPr="00DB22FD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DB22FD" w:rsidRPr="00A67F1C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DB22FD">
        <w:rPr>
          <w:rFonts w:ascii="Arial" w:hAnsi="Arial" w:cs="Arial"/>
          <w:sz w:val="22"/>
          <w:szCs w:val="22"/>
          <w:lang w:eastAsia="pt-BR"/>
        </w:rPr>
        <w:t xml:space="preserve">A CONTRATADA designará responsável técnico pela execução, obrigatoriamente detentor de acervo técnico, comprovado por meio de atestado de aptidão emitido por pessoa jurídica de direito público ou privado, para a qual tenha prestado serviço compatível com o objeto desta licitação em quantidade e característica, </w:t>
      </w:r>
      <w:proofErr w:type="gramStart"/>
      <w:r w:rsidRPr="00DB22FD">
        <w:rPr>
          <w:rFonts w:ascii="Arial" w:hAnsi="Arial" w:cs="Arial"/>
          <w:sz w:val="22"/>
          <w:szCs w:val="22"/>
          <w:lang w:eastAsia="pt-BR"/>
        </w:rPr>
        <w:t>devidamente registrado no CREA</w:t>
      </w:r>
      <w:proofErr w:type="gramEnd"/>
      <w:r w:rsidRPr="00DB22FD">
        <w:rPr>
          <w:rFonts w:ascii="Arial" w:hAnsi="Arial" w:cs="Arial"/>
          <w:sz w:val="22"/>
          <w:szCs w:val="22"/>
          <w:lang w:eastAsia="pt-BR"/>
        </w:rPr>
        <w:t xml:space="preserve">. Este profissional deverá assumir </w:t>
      </w:r>
      <w:r w:rsidRPr="00DB22FD">
        <w:rPr>
          <w:rFonts w:ascii="Arial" w:hAnsi="Arial" w:cs="Arial"/>
          <w:sz w:val="22"/>
          <w:szCs w:val="22"/>
          <w:lang w:eastAsia="pt-BR"/>
        </w:rPr>
        <w:lastRenderedPageBreak/>
        <w:t>pessoal e diretamente a execução dos serviços, devendo acompanhar a execução dos projetos durante todo o tempo de sua realização.</w:t>
      </w:r>
    </w:p>
    <w:p w:rsidR="00650B7B" w:rsidRPr="00650B7B" w:rsidRDefault="00650B7B" w:rsidP="00650B7B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650B7B" w:rsidRPr="0045349B" w:rsidRDefault="00650B7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3. </w:t>
      </w:r>
      <w:r w:rsidR="001B0A99" w:rsidRPr="001B0A99">
        <w:rPr>
          <w:rFonts w:ascii="Arial" w:hAnsi="Arial" w:cs="Arial"/>
          <w:b/>
          <w:sz w:val="32"/>
          <w:szCs w:val="32"/>
        </w:rPr>
        <w:t>Elementos de Segurança do Trabalho</w:t>
      </w:r>
    </w:p>
    <w:p w:rsidR="004357FE" w:rsidRPr="00650B7B" w:rsidRDefault="004357FE" w:rsidP="00650B7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pt-BR"/>
        </w:rPr>
      </w:pPr>
    </w:p>
    <w:p w:rsidR="005B5913" w:rsidRDefault="005B5913" w:rsidP="00AE26D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Serão obedecidas todas as recomendações, com relação à segurança do trabalho, contidas na Norma Regulamentadora NR-18, aprovada pela Portaria 3214, de 08.06.78, do Ministério do Trabalho, publicada no DOU de 06.07.78 (suplemento).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D824A5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As ferramentas e equipamentos de uso nos projetos serão dimensionados, especificados e fornecidos pela CONTRATADA, de acordo com o seu plano de construção, em perfeito estado, prontas para o uso e atendendo aos graus de segurança exigidos para cada caso.</w:t>
      </w:r>
    </w:p>
    <w:p w:rsidR="00D824A5" w:rsidRDefault="00D824A5" w:rsidP="00D824A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5B5913" w:rsidRPr="0045349B" w:rsidRDefault="00D824A5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4. </w:t>
      </w:r>
      <w:r w:rsidR="001B0A99" w:rsidRPr="001B0A99">
        <w:rPr>
          <w:rFonts w:ascii="Arial" w:hAnsi="Arial" w:cs="Arial"/>
          <w:b/>
          <w:sz w:val="32"/>
          <w:szCs w:val="32"/>
        </w:rPr>
        <w:t xml:space="preserve"> Especificações de Materiais e Serviços</w:t>
      </w:r>
    </w:p>
    <w:p w:rsidR="008035E8" w:rsidRDefault="008035E8" w:rsidP="00AE26D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5B5913" w:rsidRDefault="00D824A5" w:rsidP="00AE26D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>
        <w:rPr>
          <w:rFonts w:ascii="Arial" w:hAnsi="Arial" w:cs="Arial"/>
          <w:sz w:val="22"/>
          <w:szCs w:val="22"/>
          <w:lang w:eastAsia="pt-BR"/>
        </w:rPr>
        <w:tab/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 fornecimento de materiais, bem como a execução dos serviços obedecerá rigorosamente ao constante nos documentos: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Portaria 2296, de 23 de julho de 1997, MARE;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Normas da ABNT;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Prescrições e recomendações dos fabricantes;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 xml:space="preserve">Normas internacionais consagradas, na falta das citadas; 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 xml:space="preserve">Práticas SEAP do Ministério do Orçamento e Gestão; 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Estas especificações e desenhos do projeto.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Os materiais ou equipamentos especificados admitem substituição, desde que por outros tecnicamente similares. O uso destes produtos será previamente aprovado pela CONTRATANTE.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existência de FISCALIZAÇÃO, de modo algum, diminui ou atenua a responsabilidade da CONTRATADA pela execução de qualquer serviço.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Ficará a critério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da FISCALIZAÇÃO recusar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qualquer serviço executado que não satisfaça às condições contratuais e ao bom padrão de acabamento.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CONTRATADA ficará obrigada a refazer os trabalhos recusados pela FISCALIZAÇÃO.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Caberá à CONTRATADA a responsabilidade por qualquer acidente de trabalho, bem como danos ou prejuízos causados à CONTRATANTE e a terceiros.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Todas as medidas serão conferidas no local.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quantificação é da responsabilidade das empresas LICITANTES que serão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lastRenderedPageBreak/>
        <w:t>obrigadas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a contemplar todos os itens constantes do projeto.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Todos os materiais serão novos, comprovadamente de primeira qualidade.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CONTRATADA apresentará, antes de iniciar o serviço, a devida Anotação de Responsabilidade Técnica (ART) pela execução, registrada no CREA.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Toda a </w:t>
      </w:r>
      <w:proofErr w:type="spellStart"/>
      <w:r w:rsidRPr="001B0A99">
        <w:rPr>
          <w:rFonts w:ascii="Arial" w:hAnsi="Arial" w:cs="Arial"/>
          <w:sz w:val="22"/>
          <w:szCs w:val="22"/>
          <w:lang w:eastAsia="pt-BR"/>
        </w:rPr>
        <w:t>mão-de-obra</w:t>
      </w:r>
      <w:proofErr w:type="spellEnd"/>
      <w:r w:rsidRPr="001B0A99">
        <w:rPr>
          <w:rFonts w:ascii="Arial" w:hAnsi="Arial" w:cs="Arial"/>
          <w:sz w:val="22"/>
          <w:szCs w:val="22"/>
          <w:lang w:eastAsia="pt-BR"/>
        </w:rPr>
        <w:t xml:space="preserve"> será </w:t>
      </w:r>
      <w:r w:rsidR="009B2EEB" w:rsidRPr="001B0A99">
        <w:rPr>
          <w:rFonts w:ascii="Arial" w:hAnsi="Arial" w:cs="Arial"/>
          <w:sz w:val="22"/>
          <w:szCs w:val="22"/>
          <w:lang w:eastAsia="pt-BR"/>
        </w:rPr>
        <w:t>fornecida</w:t>
      </w:r>
      <w:r w:rsidRPr="001B0A99">
        <w:rPr>
          <w:rFonts w:ascii="Arial" w:hAnsi="Arial" w:cs="Arial"/>
          <w:sz w:val="22"/>
          <w:szCs w:val="22"/>
          <w:lang w:eastAsia="pt-BR"/>
        </w:rPr>
        <w:t xml:space="preserve"> pela CONTRATADA e deverá ser devidamente qualificada na execução dos trabalhos.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A CONTRATADA designará responsável técnico pela execução, obrigatoriamente detentor de acervo técnico, comprovado por meio de atestado de aptidão emitido por pessoa jurídica de direito público ou privado, para a qual tenha prestado serviço compatível com o objeto desta licitação em quantidade e característica,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devidamente registrado no CREA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. Este profissional deverá assumir pessoal e diretamente a execução dos serviços, devendo estar </w:t>
      </w:r>
      <w:r w:rsidR="009B2EEB" w:rsidRPr="001B0A99">
        <w:rPr>
          <w:rFonts w:ascii="Arial" w:hAnsi="Arial" w:cs="Arial"/>
          <w:sz w:val="22"/>
          <w:szCs w:val="22"/>
          <w:lang w:eastAsia="pt-BR"/>
        </w:rPr>
        <w:t>à</w:t>
      </w:r>
      <w:r w:rsidRPr="001B0A99">
        <w:rPr>
          <w:rFonts w:ascii="Arial" w:hAnsi="Arial" w:cs="Arial"/>
          <w:sz w:val="22"/>
          <w:szCs w:val="22"/>
          <w:lang w:eastAsia="pt-BR"/>
        </w:rPr>
        <w:t xml:space="preserve"> frente do projeto durante todo o tempo de sua realização.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Todas as instalações serão executadas com esmero e bom acabamento, formando um conjunto mecânica e eletricamente satisfatório e de boa qualidade.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As partes vivas expostas dos circuitos e dos equipamentos elétricos serão protegidas contra acidentes, seja por um invólucro protetor, seja pela sua colocação fora do alcance normal de pessoas não qualificadas.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Em lugares úmidos ou normalmente molhados, nos expostos às intempéries, onde o material possa sofrer ação dos agentes corrosivos de qualquer natureza, serão usados métodos de instalação adequados e materiais destinados especialmente a essa finalidade.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AE26D8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Somente em caso claramente autorizado pela Fiscalização será permitido que equipamentos e materiais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sejam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instalados de maneira diferente da especificada ou indicada por seu fabricante. Esta recomendação cobre também os serviços de partida e os testes de desempenho de cada equipamento, que deverão ser realizados de acordo com as indicações de seus fabricantes.</w:t>
      </w:r>
    </w:p>
    <w:p w:rsidR="0034736D" w:rsidRPr="0077262F" w:rsidRDefault="0034736D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7C1BB4" w:rsidRPr="0045349B" w:rsidRDefault="00A7289F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5. </w:t>
      </w:r>
      <w:r w:rsidR="001B0A99" w:rsidRPr="001B0A99">
        <w:rPr>
          <w:rFonts w:ascii="Arial" w:hAnsi="Arial" w:cs="Arial"/>
          <w:b/>
          <w:sz w:val="32"/>
          <w:szCs w:val="32"/>
        </w:rPr>
        <w:t>Normas e Códigos</w:t>
      </w:r>
    </w:p>
    <w:p w:rsidR="00A7289F" w:rsidRDefault="00A7289F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5B5913" w:rsidRPr="0077262F" w:rsidRDefault="005B5913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1B0A99" w:rsidRPr="001B0A99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Na execução dos serviços deverão ser observadas as normas e códigos aplicáveis ao serviço em pauta, em especial as normas abaixo relacionadas:</w:t>
      </w:r>
    </w:p>
    <w:p w:rsidR="001B0A99" w:rsidRPr="001B0A99" w:rsidRDefault="001B0A99" w:rsidP="001B0A99">
      <w:pPr>
        <w:jc w:val="both"/>
        <w:rPr>
          <w:rFonts w:ascii="Arial" w:eastAsia="Calibri" w:hAnsi="Arial" w:cs="Arial"/>
          <w:sz w:val="22"/>
          <w:szCs w:val="22"/>
        </w:rPr>
      </w:pP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5410 - Execução de instalações elétricas de baixa tensão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5419 - Proteção Contra Descargas Atmosféricas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ElA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>/TIA 568A - Commercial Building Telecommunication Wiring Standard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EIAITIA 569 - Commercial Building Standard for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Telecomumunicative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Pathways and Spaces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lastRenderedPageBreak/>
        <w:t xml:space="preserve">EIAITIA 606 - Administration Standard for de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Telecomunications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Infraestructure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of      Commercial Buildings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EIAITIA 607 - Grounding and Bonding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Requeriments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for Telecommunications In Commercial Building;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>EIAITIA TSB-67 - Transmission Performance Specification for Field Tests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Prática Telebrás 235-510-600 </w:t>
      </w:r>
      <w:proofErr w:type="gramStart"/>
      <w:r w:rsidRPr="001B0A99">
        <w:rPr>
          <w:rFonts w:ascii="Arial" w:eastAsia="Calibri" w:hAnsi="Arial" w:cs="Arial"/>
          <w:sz w:val="22"/>
          <w:szCs w:val="22"/>
        </w:rPr>
        <w:t>-Projeto</w:t>
      </w:r>
      <w:proofErr w:type="gramEnd"/>
      <w:r w:rsidRPr="001B0A99">
        <w:rPr>
          <w:rFonts w:ascii="Arial" w:eastAsia="Calibri" w:hAnsi="Arial" w:cs="Arial"/>
          <w:sz w:val="22"/>
          <w:szCs w:val="22"/>
        </w:rPr>
        <w:t xml:space="preserve"> de redes Telefônicas em Edifícios.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14565 - Procedimentos básicos para elaboração de projetos de cabeamento de telecomunicações para rede interna estruturada.</w:t>
      </w:r>
    </w:p>
    <w:p w:rsidR="007F6A9B" w:rsidRDefault="001B0A99" w:rsidP="0010559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ISSO/IEC 11801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class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F</w:t>
      </w:r>
    </w:p>
    <w:p w:rsidR="007F6A9B" w:rsidRDefault="007F6A9B" w:rsidP="007F6A9B">
      <w:pPr>
        <w:jc w:val="both"/>
        <w:rPr>
          <w:rFonts w:ascii="Arial" w:hAnsi="Arial" w:cs="Arial"/>
          <w:sz w:val="22"/>
          <w:szCs w:val="22"/>
        </w:rPr>
      </w:pPr>
    </w:p>
    <w:p w:rsidR="007F6A9B" w:rsidRPr="0045349B" w:rsidRDefault="007F6A9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6. </w:t>
      </w:r>
      <w:r w:rsidR="00105598" w:rsidRPr="00105598">
        <w:rPr>
          <w:rFonts w:ascii="Arial" w:hAnsi="Arial" w:cs="Arial"/>
          <w:b/>
          <w:sz w:val="32"/>
          <w:szCs w:val="32"/>
        </w:rPr>
        <w:t>Descrição da Rede Local</w:t>
      </w:r>
    </w:p>
    <w:p w:rsidR="007F6A9B" w:rsidRPr="007F6A9B" w:rsidRDefault="007F6A9B" w:rsidP="007F6A9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5B5913" w:rsidRDefault="005B5913" w:rsidP="007F6A9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rede local a ser instalada, também denominada LAN (Local </w:t>
      </w:r>
      <w:proofErr w:type="spellStart"/>
      <w:r w:rsidRPr="00105598">
        <w:rPr>
          <w:rFonts w:ascii="Arial" w:hAnsi="Arial" w:cs="Arial"/>
          <w:sz w:val="22"/>
          <w:szCs w:val="22"/>
        </w:rPr>
        <w:t>Area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Network), possui dois componentes: o passivo e o ativo. O componente passivo é representado pelo conjunto de elementos responsáveis pelo transporte dos dados através de um meio físico e é composto pelos cabos, acessórios de cabeamento e tubulações. O componente ativo, por sua vez, compreende os dispositivos eletrônicos, suas tecnologias e a topologia envolvida na transmissão de dados entre as estações. O componente passivo, neste documento, será baseado no modelo de cabeamento estruturado desenvolvido pela ANSI/TIA/EIA-568-A e ISO 11801.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sistema tem como finalidade o estabelecimento da infraestrutura, que integrará os sinais de telecomunicação - voz, dados e imagem - permitindo a implantação de pontos de telemática, que satisfaça às necessidades iniciais e futuras em telecomunicações com vida útil prolongada e que garanta a flexibilidade, expansibilidade e interoperabilidade através de um cabeamento estruturado que permitirá a instalação de linhas diretas e ramais da Central telefônica Digital e centrais VOIP bem como ligação à rede externa, suportando aplicações de telefonia, Vídeo/ Áudio analógicos, Fax, Modem 56 comutado, ISDN, RS-232, RS-422, RS-485, Ethernet 10 </w:t>
      </w:r>
      <w:proofErr w:type="spellStart"/>
      <w:r w:rsidR="00317564" w:rsidRPr="00105598">
        <w:rPr>
          <w:rFonts w:ascii="Arial" w:hAnsi="Arial" w:cs="Arial"/>
          <w:sz w:val="22"/>
          <w:szCs w:val="22"/>
        </w:rPr>
        <w:t>Gigabit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, TP-PMD </w:t>
      </w:r>
      <w:proofErr w:type="gramStart"/>
      <w:r w:rsidRPr="00105598">
        <w:rPr>
          <w:rFonts w:ascii="Arial" w:hAnsi="Arial" w:cs="Arial"/>
          <w:sz w:val="22"/>
          <w:szCs w:val="22"/>
        </w:rPr>
        <w:t>100Mbps</w:t>
      </w:r>
      <w:proofErr w:type="gramEnd"/>
      <w:r w:rsidRPr="00105598">
        <w:rPr>
          <w:rFonts w:ascii="Arial" w:hAnsi="Arial" w:cs="Arial"/>
          <w:sz w:val="22"/>
          <w:szCs w:val="22"/>
        </w:rPr>
        <w:t>, ATM, Áudio digital e Vídeo digital.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cabeamento deverá suportar taxas de transmissão com </w:t>
      </w:r>
      <w:proofErr w:type="spellStart"/>
      <w:r w:rsidRPr="00105598">
        <w:rPr>
          <w:rFonts w:ascii="Arial" w:hAnsi="Arial" w:cs="Arial"/>
          <w:sz w:val="22"/>
          <w:szCs w:val="22"/>
        </w:rPr>
        <w:t>freqüências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maiores do que </w:t>
      </w:r>
      <w:proofErr w:type="gramStart"/>
      <w:r w:rsidRPr="00105598">
        <w:rPr>
          <w:rFonts w:ascii="Arial" w:hAnsi="Arial" w:cs="Arial"/>
          <w:sz w:val="22"/>
          <w:szCs w:val="22"/>
        </w:rPr>
        <w:t>600 MHZ e permitir trafego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de 10 </w:t>
      </w:r>
      <w:proofErr w:type="spellStart"/>
      <w:r w:rsidRPr="00105598">
        <w:rPr>
          <w:rFonts w:ascii="Arial" w:hAnsi="Arial" w:cs="Arial"/>
          <w:sz w:val="22"/>
          <w:szCs w:val="22"/>
        </w:rPr>
        <w:t>gigabit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na rede Ethernet conforme descrição do cabeamento ISSO/IEC 11801 classe F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descrição a seguir, representa alguns itens que serão </w:t>
      </w:r>
      <w:proofErr w:type="gramStart"/>
      <w:r w:rsidRPr="00105598">
        <w:rPr>
          <w:rFonts w:ascii="Arial" w:hAnsi="Arial" w:cs="Arial"/>
          <w:sz w:val="22"/>
          <w:szCs w:val="22"/>
        </w:rPr>
        <w:t>implementados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na estrutura a ser criada: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6.1 Armários de Telecomunicações (AT)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função primária dos Armários de Telecomunicações é servir como um centro de telecomunicações, isto é, a terminação dos cabos do sistema de distribuição horizontal.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topologia neste local também é baseada no modelo estrela e, além dos componentes de cabeamento, serão instalados equipamentos eletrônicos.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lastRenderedPageBreak/>
        <w:t>A técnica de conexão adotada isto é, a maneira como serão interligados os componentes ativos e passivos, será a da interconexão, ou seja, os cabos terminados em um painel de conexão (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05598">
        <w:rPr>
          <w:rFonts w:ascii="Arial" w:hAnsi="Arial" w:cs="Arial"/>
          <w:sz w:val="22"/>
          <w:szCs w:val="22"/>
        </w:rPr>
        <w:t>panel</w:t>
      </w:r>
      <w:proofErr w:type="spellEnd"/>
      <w:r w:rsidRPr="00105598">
        <w:rPr>
          <w:rFonts w:ascii="Arial" w:hAnsi="Arial" w:cs="Arial"/>
          <w:sz w:val="22"/>
          <w:szCs w:val="22"/>
        </w:rPr>
        <w:t>) serão interligados diretamente aos equipamentos por um cabo de manobra (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05598">
        <w:rPr>
          <w:rFonts w:ascii="Arial" w:hAnsi="Arial" w:cs="Arial"/>
          <w:sz w:val="22"/>
          <w:szCs w:val="22"/>
        </w:rPr>
        <w:t>cord</w:t>
      </w:r>
      <w:proofErr w:type="spellEnd"/>
      <w:proofErr w:type="gramEnd"/>
      <w:r w:rsidRPr="00105598">
        <w:rPr>
          <w:rFonts w:ascii="Arial" w:hAnsi="Arial" w:cs="Arial"/>
          <w:sz w:val="22"/>
          <w:szCs w:val="22"/>
        </w:rPr>
        <w:t>).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armário de telecomunicações é o espaço destinado a executar por meio de manobras a conexão dos serviços recebidos pelo cabeamento primário para os usuários conectados aos pontos de telecomunicações, podendo abrigar os equipamentos ativos.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Segundo a norma NBR14565 numa edificação é necessária </w:t>
      </w:r>
      <w:proofErr w:type="gramStart"/>
      <w:r w:rsidRPr="00105598">
        <w:rPr>
          <w:rFonts w:ascii="Arial" w:hAnsi="Arial" w:cs="Arial"/>
          <w:sz w:val="22"/>
          <w:szCs w:val="22"/>
        </w:rPr>
        <w:t>a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utilização de um AT por andar.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EIA/TIA569A define para o armário de telecomunicações, características tais como: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Sempre que um lance de cabos </w:t>
      </w:r>
      <w:proofErr w:type="gramStart"/>
      <w:r w:rsidRPr="00105598">
        <w:rPr>
          <w:rFonts w:ascii="Arial" w:hAnsi="Arial" w:cs="Arial"/>
          <w:sz w:val="22"/>
          <w:szCs w:val="22"/>
        </w:rPr>
        <w:t>ultrapassar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90m ou área útil de um andar for maior que 1000m2, </w:t>
      </w:r>
      <w:proofErr w:type="spellStart"/>
      <w:r w:rsidRPr="00105598">
        <w:rPr>
          <w:rFonts w:ascii="Arial" w:hAnsi="Arial" w:cs="Arial"/>
          <w:sz w:val="22"/>
          <w:szCs w:val="22"/>
        </w:rPr>
        <w:t>ATs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adicionais deverão ser utilizados.</w:t>
      </w:r>
    </w:p>
    <w:p w:rsidR="00105598" w:rsidRP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Os equipamentos deverão ter acesso ao sistema de aterramento do edifício por meio de barras de vinculação de terra.</w:t>
      </w:r>
    </w:p>
    <w:p w:rsid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Os AT devem estar localizados em salas de </w:t>
      </w:r>
      <w:proofErr w:type="gramStart"/>
      <w:r w:rsidRPr="00105598">
        <w:rPr>
          <w:rFonts w:ascii="Arial" w:hAnsi="Arial" w:cs="Arial"/>
          <w:sz w:val="22"/>
          <w:szCs w:val="22"/>
        </w:rPr>
        <w:t>3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x 2,2m a 3 x 3,4m conforme área útil do andar.</w:t>
      </w:r>
    </w:p>
    <w:p w:rsidR="00DB22FD" w:rsidRPr="00105598" w:rsidRDefault="00DB22FD" w:rsidP="00DB22FD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São reconhecidos para uso nos AT os gabinetes (</w:t>
      </w:r>
      <w:proofErr w:type="spellStart"/>
      <w:r w:rsidRPr="00105598">
        <w:rPr>
          <w:rFonts w:ascii="Arial" w:hAnsi="Arial" w:cs="Arial"/>
          <w:sz w:val="22"/>
          <w:szCs w:val="22"/>
        </w:rPr>
        <w:t>racks</w:t>
      </w:r>
      <w:proofErr w:type="spellEnd"/>
      <w:r w:rsidRPr="00105598">
        <w:rPr>
          <w:rFonts w:ascii="Arial" w:hAnsi="Arial" w:cs="Arial"/>
          <w:sz w:val="22"/>
          <w:szCs w:val="22"/>
        </w:rPr>
        <w:t>) de parede ou do tipo armário, fechados ou abertos.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6C63C1">
        <w:rPr>
          <w:rFonts w:ascii="Arial" w:hAnsi="Arial" w:cs="Arial"/>
          <w:b/>
          <w:sz w:val="22"/>
          <w:szCs w:val="22"/>
        </w:rPr>
        <w:t>6.2 Cabeamento</w:t>
      </w:r>
      <w:proofErr w:type="gramEnd"/>
      <w:r w:rsidRPr="006C63C1">
        <w:rPr>
          <w:rFonts w:ascii="Arial" w:hAnsi="Arial" w:cs="Arial"/>
          <w:b/>
          <w:sz w:val="22"/>
          <w:szCs w:val="22"/>
        </w:rPr>
        <w:t xml:space="preserve"> Secundário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cabeamento secundário interliga os equipamentos de redes, elementos ativos, às Áreas de Trabalho onde estão as estações. Assim como no cabeamento tronco, utiliza-se uma topologia em estrela, isto é, cada ponto de telecomunicações localizado na Área de Trabalho será interligado a um único cabo dedicado até um painel de conexão instalado no Armário de Telecomunicações.</w:t>
      </w:r>
    </w:p>
    <w:p w:rsidR="00DB22FD" w:rsidRPr="00105598" w:rsidRDefault="00DB22FD" w:rsidP="0010559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NBR 14565 apresenta as seguintes formas de encaminhamentos para cabos secundários: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Eletrodutos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105598">
        <w:rPr>
          <w:rFonts w:ascii="Arial" w:hAnsi="Arial" w:cs="Arial"/>
          <w:sz w:val="22"/>
          <w:szCs w:val="22"/>
        </w:rPr>
        <w:t>Canaletas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aparentes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de teto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embutida em piso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em piso falso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6C63C1">
        <w:rPr>
          <w:rFonts w:ascii="Arial" w:hAnsi="Arial" w:cs="Arial"/>
          <w:b/>
          <w:sz w:val="22"/>
          <w:szCs w:val="22"/>
        </w:rPr>
        <w:t>6.3 Cabeamento</w:t>
      </w:r>
      <w:proofErr w:type="gramEnd"/>
      <w:r w:rsidRPr="006C63C1">
        <w:rPr>
          <w:rFonts w:ascii="Arial" w:hAnsi="Arial" w:cs="Arial"/>
          <w:b/>
          <w:sz w:val="22"/>
          <w:szCs w:val="22"/>
        </w:rPr>
        <w:t xml:space="preserve"> Primário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cabo primário tem por objetivo conectar em primeiro nível a sala de equipamento aos armários de telecomunicações (AT) no sistema LAN. Em segundo </w:t>
      </w:r>
      <w:r w:rsidRPr="00105598">
        <w:rPr>
          <w:rFonts w:ascii="Arial" w:hAnsi="Arial" w:cs="Arial"/>
          <w:sz w:val="22"/>
          <w:szCs w:val="22"/>
        </w:rPr>
        <w:lastRenderedPageBreak/>
        <w:t xml:space="preserve">nível, o cabo primário conecta a sala de equipamento intermediária aos armários de </w:t>
      </w:r>
      <w:proofErr w:type="gramStart"/>
      <w:r w:rsidRPr="00105598">
        <w:rPr>
          <w:rFonts w:ascii="Arial" w:hAnsi="Arial" w:cs="Arial"/>
          <w:sz w:val="22"/>
          <w:szCs w:val="22"/>
        </w:rPr>
        <w:t>telecomunicações</w:t>
      </w:r>
      <w:proofErr w:type="gramEnd"/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norma NBR 14565 reconhece como elementos de distribuição do cabeamento primário as eletrocalhas (abertas ou fechadas, lisa ou perfurada), bandejas de cabos, gancho do tipo anel, eletrodutos (rígidos ou flexíveis) e </w:t>
      </w:r>
      <w:proofErr w:type="spellStart"/>
      <w:r w:rsidRPr="00105598">
        <w:rPr>
          <w:rFonts w:ascii="Arial" w:hAnsi="Arial" w:cs="Arial"/>
          <w:sz w:val="22"/>
          <w:szCs w:val="22"/>
        </w:rPr>
        <w:t>shafts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do tipo </w:t>
      </w:r>
      <w:proofErr w:type="spellStart"/>
      <w:r w:rsidRPr="00105598">
        <w:rPr>
          <w:rFonts w:ascii="Arial" w:hAnsi="Arial" w:cs="Arial"/>
          <w:sz w:val="22"/>
          <w:szCs w:val="22"/>
        </w:rPr>
        <w:t>sleeve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ou </w:t>
      </w:r>
      <w:proofErr w:type="spellStart"/>
      <w:r w:rsidRPr="00105598">
        <w:rPr>
          <w:rFonts w:ascii="Arial" w:hAnsi="Arial" w:cs="Arial"/>
          <w:sz w:val="22"/>
          <w:szCs w:val="22"/>
        </w:rPr>
        <w:t>slot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. Os </w:t>
      </w:r>
      <w:proofErr w:type="spellStart"/>
      <w:r w:rsidRPr="00105598">
        <w:rPr>
          <w:rFonts w:ascii="Arial" w:hAnsi="Arial" w:cs="Arial"/>
          <w:sz w:val="22"/>
          <w:szCs w:val="22"/>
        </w:rPr>
        <w:t>sleeves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são furos circulares de </w:t>
      </w:r>
      <w:proofErr w:type="gramStart"/>
      <w:r w:rsidRPr="00105598">
        <w:rPr>
          <w:rFonts w:ascii="Arial" w:hAnsi="Arial" w:cs="Arial"/>
          <w:sz w:val="22"/>
          <w:szCs w:val="22"/>
        </w:rPr>
        <w:t>4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” entre os andares para a passagem dos cabos e os </w:t>
      </w:r>
      <w:proofErr w:type="spellStart"/>
      <w:r w:rsidRPr="00105598">
        <w:rPr>
          <w:rFonts w:ascii="Arial" w:hAnsi="Arial" w:cs="Arial"/>
          <w:sz w:val="22"/>
          <w:szCs w:val="22"/>
        </w:rPr>
        <w:t>slots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são cortes retangulares. Os cabos que se utilizam de </w:t>
      </w:r>
      <w:proofErr w:type="spellStart"/>
      <w:r w:rsidRPr="00105598">
        <w:rPr>
          <w:rFonts w:ascii="Arial" w:hAnsi="Arial" w:cs="Arial"/>
          <w:sz w:val="22"/>
          <w:szCs w:val="22"/>
        </w:rPr>
        <w:t>shafts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devem ser fixados em </w:t>
      </w:r>
      <w:proofErr w:type="spellStart"/>
      <w:r w:rsidRPr="00105598">
        <w:rPr>
          <w:rFonts w:ascii="Arial" w:hAnsi="Arial" w:cs="Arial"/>
          <w:sz w:val="22"/>
          <w:szCs w:val="22"/>
        </w:rPr>
        <w:t>barrs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de fixação por meio de </w:t>
      </w:r>
      <w:proofErr w:type="spellStart"/>
      <w:r w:rsidRPr="00105598">
        <w:rPr>
          <w:rFonts w:ascii="Arial" w:hAnsi="Arial" w:cs="Arial"/>
          <w:sz w:val="22"/>
          <w:szCs w:val="22"/>
        </w:rPr>
        <w:t>velcros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ou abraçadeiras.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NBR 14565 determina as distâncias máximas admissíveis para o cabeamento primário como visto na figura 1 e na tabela 1.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485775" w:rsidP="0010559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pt-BR"/>
        </w:rPr>
        <w:drawing>
          <wp:inline distT="0" distB="0" distL="0" distR="0">
            <wp:extent cx="5288915" cy="1668145"/>
            <wp:effectExtent l="19050" t="0" r="6985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915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598" w:rsidRPr="00105598" w:rsidRDefault="00105598" w:rsidP="00105598">
      <w:pPr>
        <w:jc w:val="center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Figura 1: </w:t>
      </w:r>
      <w:proofErr w:type="gramStart"/>
      <w:r w:rsidRPr="00105598">
        <w:rPr>
          <w:rFonts w:ascii="Arial" w:hAnsi="Arial" w:cs="Arial"/>
          <w:sz w:val="22"/>
          <w:szCs w:val="22"/>
        </w:rPr>
        <w:t>Esquemático ligações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em uma rede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485775" w:rsidP="0010559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pt-BR"/>
        </w:rPr>
        <w:drawing>
          <wp:inline distT="0" distB="0" distL="0" distR="0">
            <wp:extent cx="3576955" cy="1163320"/>
            <wp:effectExtent l="19050" t="0" r="4445" b="0"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598" w:rsidRPr="00105598" w:rsidRDefault="00105598" w:rsidP="00105598">
      <w:pPr>
        <w:jc w:val="center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Tabela 1: Comprimento máximo para rede primária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6.4 Meios de transmissão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cabeamento horizontal deverá ser constituído por um dos seguintes meios de transmissão: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</w:t>
      </w:r>
      <w:r>
        <w:rPr>
          <w:rFonts w:ascii="Arial" w:hAnsi="Arial" w:cs="Arial"/>
          <w:sz w:val="22"/>
          <w:szCs w:val="22"/>
        </w:rPr>
        <w:t>;</w:t>
      </w:r>
    </w:p>
    <w:p w:rsidR="00105598" w:rsidRPr="00105598" w:rsidRDefault="00105598" w:rsidP="0010559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Fibras ópticas tipo MM de 62,5/125m ou 50/125m.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</w:t>
      </w:r>
      <w:r w:rsidR="006C63C1">
        <w:rPr>
          <w:rFonts w:ascii="Arial" w:hAnsi="Arial" w:cs="Arial"/>
          <w:b/>
          <w:sz w:val="22"/>
          <w:szCs w:val="22"/>
        </w:rPr>
        <w:t>.5 Distâncias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comprimento máximo de um segmento horizontal, isto é, a distância entre o equipamento eletrônico instalado no Armário de Telecomunicações e a estação de trabalho é de 100 metros. As normas TIA/EIA 568-A e ISO 11801 definem as </w:t>
      </w:r>
      <w:r w:rsidRPr="00105598">
        <w:rPr>
          <w:rFonts w:ascii="Arial" w:hAnsi="Arial" w:cs="Arial"/>
          <w:sz w:val="22"/>
          <w:szCs w:val="22"/>
        </w:rPr>
        <w:lastRenderedPageBreak/>
        <w:t>distâncias máximas do cabeamento horizontal independente do meio físico considerando duas parcelas desse subsistema: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comprimento máximo de um cabo horizontal será de 90 metros. Essa distância deve ser medida do ponto de conexão mecânica no Armário de Telecomunicações, centro de distribuição dos cabos, até o ponto de telecomunicações na Área de Trabalho;</w:t>
      </w:r>
    </w:p>
    <w:p w:rsidR="00105598" w:rsidRPr="00105598" w:rsidRDefault="00105598" w:rsidP="00105598">
      <w:pPr>
        <w:numPr>
          <w:ilvl w:val="0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Os 10 metros de comprimento restantes são permitidos para os cabos de estação, cabos de manobra e cabos do equipamento.</w:t>
      </w: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 Componentes</w:t>
      </w: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6.6.1 Cabo de Manobra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conhecido como 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05598">
        <w:rPr>
          <w:rFonts w:ascii="Arial" w:hAnsi="Arial" w:cs="Arial"/>
          <w:sz w:val="22"/>
          <w:szCs w:val="22"/>
        </w:rPr>
        <w:t>cord</w:t>
      </w:r>
      <w:proofErr w:type="spellEnd"/>
      <w:proofErr w:type="gramEnd"/>
      <w:r w:rsidRPr="00105598">
        <w:rPr>
          <w:rFonts w:ascii="Arial" w:hAnsi="Arial" w:cs="Arial"/>
          <w:sz w:val="22"/>
          <w:szCs w:val="22"/>
        </w:rPr>
        <w:t xml:space="preserve">,. Sua função é interligar dois painéis de conexão ou um painel e um equipamento facilitando as manobras de manutenção ou de alterações de configuração.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6.6.2 Painel de Conexão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chamado de </w:t>
      </w:r>
      <w:proofErr w:type="spellStart"/>
      <w:r w:rsidRPr="00105598">
        <w:rPr>
          <w:rFonts w:ascii="Arial" w:hAnsi="Arial" w:cs="Arial"/>
          <w:sz w:val="22"/>
          <w:szCs w:val="22"/>
        </w:rPr>
        <w:t>patch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05598">
        <w:rPr>
          <w:rFonts w:ascii="Arial" w:hAnsi="Arial" w:cs="Arial"/>
          <w:sz w:val="22"/>
          <w:szCs w:val="22"/>
        </w:rPr>
        <w:t>panel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, na dimensão de </w:t>
      </w:r>
      <w:proofErr w:type="gramStart"/>
      <w:r w:rsidRPr="00105598">
        <w:rPr>
          <w:rFonts w:ascii="Arial" w:hAnsi="Arial" w:cs="Arial"/>
          <w:sz w:val="22"/>
          <w:szCs w:val="22"/>
        </w:rPr>
        <w:t>1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UA (unidade de altura) e instalação em gabinetes de 19 polegadas.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6.6.3</w:t>
      </w:r>
      <w:r w:rsidRPr="006C63C1">
        <w:rPr>
          <w:rFonts w:ascii="Arial" w:hAnsi="Arial" w:cs="Arial"/>
          <w:b/>
          <w:sz w:val="22"/>
          <w:szCs w:val="22"/>
        </w:rPr>
        <w:tab/>
        <w:t>Cabos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6.6.4</w:t>
      </w:r>
      <w:proofErr w:type="gramStart"/>
      <w:r w:rsidRPr="006C63C1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Pr="006C63C1">
        <w:rPr>
          <w:rFonts w:ascii="Arial" w:hAnsi="Arial" w:cs="Arial"/>
          <w:b/>
          <w:sz w:val="22"/>
          <w:szCs w:val="22"/>
        </w:rPr>
        <w:t>Ponto de Telecomunicação (PTR)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conhecido por tomada de estação, trata-se de um </w:t>
      </w:r>
      <w:proofErr w:type="spellStart"/>
      <w:proofErr w:type="gramStart"/>
      <w:r w:rsidRPr="00105598">
        <w:rPr>
          <w:rFonts w:ascii="Arial" w:hAnsi="Arial" w:cs="Arial"/>
          <w:sz w:val="22"/>
          <w:szCs w:val="22"/>
        </w:rPr>
        <w:t>sub-sistema</w:t>
      </w:r>
      <w:proofErr w:type="spellEnd"/>
      <w:proofErr w:type="gramEnd"/>
      <w:r w:rsidRPr="00105598">
        <w:rPr>
          <w:rFonts w:ascii="Arial" w:hAnsi="Arial" w:cs="Arial"/>
          <w:sz w:val="22"/>
          <w:szCs w:val="22"/>
        </w:rPr>
        <w:t xml:space="preserve"> composto por um espelho com previsão para instalação de, no mínimo, duas tomadas fêmea. A montagem do espelho e demais componentes deverá ser acessível pela Área de Trabalho. O espelho deverá possuir previsão para instalação de etiqueta de identificação.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6.6.5</w:t>
      </w:r>
      <w:r w:rsidRPr="006C63C1">
        <w:rPr>
          <w:rFonts w:ascii="Arial" w:hAnsi="Arial" w:cs="Arial"/>
          <w:b/>
          <w:sz w:val="22"/>
          <w:szCs w:val="22"/>
        </w:rPr>
        <w:tab/>
        <w:t>Cabo de Estação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Consiste de um cordão de cabo com características elétricas descritas 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6.6.6</w:t>
      </w:r>
      <w:proofErr w:type="gramStart"/>
      <w:r w:rsidRPr="006C63C1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Pr="006C63C1">
        <w:rPr>
          <w:rFonts w:ascii="Arial" w:hAnsi="Arial" w:cs="Arial"/>
          <w:b/>
          <w:sz w:val="22"/>
          <w:szCs w:val="22"/>
        </w:rPr>
        <w:t>Área de Trabalho (ATR)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Área de Trabalho para as redes locais é onde se localizam as estações de trabalho, os aparelhos telefônicos e qualquer outro dispositivo de telecomunicações operado pelo usuário.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 xml:space="preserve">6.6.7 </w:t>
      </w:r>
      <w:proofErr w:type="spellStart"/>
      <w:r w:rsidRPr="006C63C1">
        <w:rPr>
          <w:rFonts w:ascii="Arial" w:hAnsi="Arial" w:cs="Arial"/>
          <w:b/>
          <w:sz w:val="22"/>
          <w:szCs w:val="22"/>
        </w:rPr>
        <w:t>Racks</w:t>
      </w:r>
      <w:proofErr w:type="spellEnd"/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0D1D19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lastRenderedPageBreak/>
        <w:t>Nos Armários de Telecomunicação, os componentes ativos e passivos de uma rede local serão montados em uma estrutura adequada, de forma a propiciar uma boa capacidade de gerenciamento da rede física, reduzindo sensivelmente os custos de expansão e alterações.</w:t>
      </w:r>
    </w:p>
    <w:p w:rsidR="00A04203" w:rsidRDefault="00A04203" w:rsidP="002A70BF">
      <w:pPr>
        <w:jc w:val="both"/>
        <w:rPr>
          <w:rFonts w:ascii="Arial" w:hAnsi="Arial" w:cs="Arial"/>
          <w:sz w:val="22"/>
          <w:szCs w:val="22"/>
        </w:rPr>
      </w:pPr>
    </w:p>
    <w:p w:rsidR="007C1BB4" w:rsidRPr="0045349B" w:rsidRDefault="000401F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>7</w:t>
      </w:r>
      <w:r w:rsidR="00D901D4" w:rsidRPr="0045349B">
        <w:rPr>
          <w:rFonts w:ascii="Arial" w:hAnsi="Arial" w:cs="Arial"/>
          <w:b/>
          <w:sz w:val="32"/>
          <w:szCs w:val="32"/>
        </w:rPr>
        <w:t>.</w:t>
      </w:r>
      <w:r w:rsidR="00C12A2B" w:rsidRPr="0045349B">
        <w:rPr>
          <w:rFonts w:ascii="Arial" w:hAnsi="Arial" w:cs="Arial"/>
          <w:b/>
          <w:sz w:val="32"/>
          <w:szCs w:val="32"/>
        </w:rPr>
        <w:t xml:space="preserve"> </w:t>
      </w:r>
      <w:r w:rsidR="00105598" w:rsidRPr="00105598">
        <w:rPr>
          <w:rFonts w:ascii="Arial" w:hAnsi="Arial" w:cs="Arial"/>
          <w:b/>
          <w:sz w:val="32"/>
          <w:szCs w:val="32"/>
        </w:rPr>
        <w:t>Garantia e Manutenção</w:t>
      </w:r>
    </w:p>
    <w:p w:rsidR="00C12A2B" w:rsidRPr="0077262F" w:rsidRDefault="00C12A2B" w:rsidP="002A70BF">
      <w:pPr>
        <w:jc w:val="both"/>
        <w:rPr>
          <w:rFonts w:ascii="Arial" w:hAnsi="Arial" w:cs="Arial"/>
          <w:sz w:val="22"/>
          <w:szCs w:val="22"/>
        </w:rPr>
      </w:pPr>
    </w:p>
    <w:p w:rsidR="005B5913" w:rsidRDefault="005B5913" w:rsidP="002A70BF">
      <w:pPr>
        <w:jc w:val="both"/>
        <w:rPr>
          <w:rFonts w:ascii="Arial" w:hAnsi="Arial" w:cs="Arial"/>
          <w:b/>
          <w:sz w:val="22"/>
          <w:szCs w:val="22"/>
        </w:rPr>
      </w:pPr>
    </w:p>
    <w:p w:rsidR="00E9729E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garantia deverá ser prestada por 02(dois) anos para toda solução ofertada sem qualquer ônus para o órgão.</w:t>
      </w:r>
    </w:p>
    <w:p w:rsid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jc w:val="both"/>
        <w:rPr>
          <w:rFonts w:ascii="Arial" w:eastAsia="Times-Roman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8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 w:rsidRPr="00386901">
        <w:rPr>
          <w:rFonts w:ascii="Arial" w:hAnsi="Arial" w:cs="Arial"/>
          <w:b/>
          <w:sz w:val="32"/>
          <w:szCs w:val="32"/>
        </w:rPr>
        <w:t>Normas a serem obrigatoriamente obedecidas</w:t>
      </w:r>
    </w:p>
    <w:p w:rsidR="00DB22FD" w:rsidRDefault="00DB22FD" w:rsidP="00DB22FD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386901">
        <w:rPr>
          <w:rFonts w:ascii="Arial" w:hAnsi="Arial" w:cs="Arial"/>
          <w:sz w:val="22"/>
          <w:szCs w:val="22"/>
        </w:rPr>
        <w:t>étodo de acesso CSMA/CD, rede local IEEE 802.3 (ethernet) e suas variações de alta velocidade;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topologia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da rede física em estrela hierárquica com um nível;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rede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física com estruturação TIA/EIA 568-A em par-trançado, 4 pares 100 ohms;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painéis de conexão, cabos, tomadas RJ45 e outros componentes de cabeamento compatíveis com TIA/EIA 568-A </w:t>
      </w:r>
      <w:proofErr w:type="spellStart"/>
      <w:r w:rsidRPr="00386901">
        <w:rPr>
          <w:rFonts w:ascii="Arial" w:hAnsi="Arial" w:cs="Arial"/>
          <w:sz w:val="22"/>
          <w:szCs w:val="22"/>
        </w:rPr>
        <w:t>Cat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6 Power </w:t>
      </w:r>
      <w:proofErr w:type="spellStart"/>
      <w:r w:rsidRPr="00386901">
        <w:rPr>
          <w:rFonts w:ascii="Arial" w:hAnsi="Arial" w:cs="Arial"/>
          <w:sz w:val="22"/>
          <w:szCs w:val="22"/>
        </w:rPr>
        <w:t>Sum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NEXT,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codificação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386901">
        <w:rPr>
          <w:rFonts w:ascii="Arial" w:hAnsi="Arial" w:cs="Arial"/>
          <w:sz w:val="22"/>
          <w:szCs w:val="22"/>
        </w:rPr>
        <w:t>pinagem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em conformidade com T568-A;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386901">
        <w:rPr>
          <w:rFonts w:ascii="Arial" w:hAnsi="Arial" w:cs="Arial"/>
          <w:sz w:val="22"/>
          <w:szCs w:val="22"/>
        </w:rPr>
        <w:t>infra</w:t>
      </w:r>
      <w:proofErr w:type="gramEnd"/>
      <w:r w:rsidRPr="00386901">
        <w:rPr>
          <w:rFonts w:ascii="Arial" w:hAnsi="Arial" w:cs="Arial"/>
          <w:sz w:val="22"/>
          <w:szCs w:val="22"/>
        </w:rPr>
        <w:t>-estrutura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exclusiva para encaminhamento e proteção de cabos;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386901">
        <w:rPr>
          <w:rFonts w:ascii="Arial" w:hAnsi="Arial" w:cs="Arial"/>
          <w:sz w:val="22"/>
          <w:szCs w:val="22"/>
        </w:rPr>
        <w:t>racks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para a instalação dos componentes;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testes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certificação e desempenho da rede física obrigatórios;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documentação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da rede lógica e física (</w:t>
      </w:r>
      <w:proofErr w:type="spellStart"/>
      <w:r w:rsidRPr="00386901">
        <w:rPr>
          <w:rFonts w:ascii="Arial" w:hAnsi="Arial" w:cs="Arial"/>
          <w:sz w:val="22"/>
          <w:szCs w:val="22"/>
        </w:rPr>
        <w:t>as-Built</w:t>
      </w:r>
      <w:proofErr w:type="spellEnd"/>
      <w:r w:rsidRPr="00386901">
        <w:rPr>
          <w:rFonts w:ascii="Arial" w:hAnsi="Arial" w:cs="Arial"/>
          <w:sz w:val="22"/>
          <w:szCs w:val="22"/>
        </w:rPr>
        <w:t>) obrigatório;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projeto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lógico e físico levando em conta flexibilidade de crescimento e de alterações, </w:t>
      </w:r>
      <w:proofErr w:type="spellStart"/>
      <w:r w:rsidRPr="00386901">
        <w:rPr>
          <w:rFonts w:ascii="Arial" w:hAnsi="Arial" w:cs="Arial"/>
          <w:sz w:val="22"/>
          <w:szCs w:val="22"/>
        </w:rPr>
        <w:t>utilízando-se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para dimensionamento a regra básica de 2 pontos por 10 m2 de Área de Trabalho;</w:t>
      </w:r>
    </w:p>
    <w:p w:rsidR="00386901" w:rsidRPr="0077262F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equipamentos empilháveis e gerenciáveis.</w:t>
      </w:r>
    </w:p>
    <w:p w:rsidR="007C1BB4" w:rsidRDefault="007C1BB4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9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 w:rsidRPr="00386901">
        <w:rPr>
          <w:rFonts w:ascii="Arial" w:hAnsi="Arial" w:cs="Arial"/>
          <w:b/>
          <w:sz w:val="32"/>
          <w:szCs w:val="32"/>
        </w:rPr>
        <w:t>Documentação da Instalação</w:t>
      </w:r>
    </w:p>
    <w:p w:rsidR="00386901" w:rsidRPr="0077262F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É obrigatório documentar todos os pontos de rede. Esta documentação será </w:t>
      </w:r>
      <w:proofErr w:type="gramStart"/>
      <w:r w:rsidRPr="00386901">
        <w:rPr>
          <w:rFonts w:ascii="Arial" w:hAnsi="Arial" w:cs="Arial"/>
          <w:sz w:val="22"/>
          <w:szCs w:val="22"/>
        </w:rPr>
        <w:t>necessária para a manutenção, expansões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ou reformas. A apresentação das mesmas deve ser em um caderno no formato A4 e em mídia, de preferência em CD. Nesse documento deve constar: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Descrição funcional da rede lógica.</w:t>
      </w:r>
    </w:p>
    <w:p w:rsidR="00386901" w:rsidRP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Documentação da instalação física da rede (</w:t>
      </w:r>
      <w:proofErr w:type="spellStart"/>
      <w:r w:rsidRPr="00386901">
        <w:rPr>
          <w:rFonts w:ascii="Arial" w:hAnsi="Arial" w:cs="Arial"/>
          <w:sz w:val="22"/>
          <w:szCs w:val="22"/>
        </w:rPr>
        <w:t>as-Built</w:t>
      </w:r>
      <w:proofErr w:type="spellEnd"/>
      <w:r w:rsidRPr="00386901">
        <w:rPr>
          <w:rFonts w:ascii="Arial" w:hAnsi="Arial" w:cs="Arial"/>
          <w:sz w:val="22"/>
          <w:szCs w:val="22"/>
        </w:rPr>
        <w:t>).</w:t>
      </w:r>
    </w:p>
    <w:p w:rsid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Termo de garantia.</w:t>
      </w: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10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>
        <w:rPr>
          <w:rFonts w:ascii="Arial" w:hAnsi="Arial" w:cs="Arial"/>
          <w:b/>
          <w:sz w:val="32"/>
          <w:szCs w:val="32"/>
        </w:rPr>
        <w:t>Disposições Finais</w:t>
      </w:r>
    </w:p>
    <w:p w:rsidR="00386901" w:rsidRPr="0077262F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Todo e qualquer serviço complementar, visando entregar o prédio em perfeitas condições de utilização, de acordo com a legislação municipal e normas da ABNT, deverá ser previsto e executado pela CONTRATADA.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entrega da obra não exime a CONTRATADA, em qualquer época, das garantias concedidas e das responsabilidades assumidas, em contrato e por força das disposições legais em vigor (Lei 3.071).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CONTRATADA deverá providenciar a certidão negativa de débitos junto ao INSS, a CND.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A CONTRATADA deverá providenciar toda e qualquer documentação necessária à execução dos serviços contratados. 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575295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Devera consta</w:t>
      </w:r>
      <w:r w:rsidR="00D9161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do projeto executivo </w:t>
      </w:r>
      <w:r w:rsidR="00D91619">
        <w:rPr>
          <w:rFonts w:ascii="Arial" w:hAnsi="Arial" w:cs="Arial"/>
          <w:sz w:val="22"/>
          <w:szCs w:val="22"/>
        </w:rPr>
        <w:t>a exigência a</w:t>
      </w:r>
      <w:r w:rsidR="00386901" w:rsidRPr="00386901">
        <w:rPr>
          <w:rFonts w:ascii="Arial" w:hAnsi="Arial" w:cs="Arial"/>
          <w:sz w:val="22"/>
          <w:szCs w:val="22"/>
        </w:rPr>
        <w:t xml:space="preserve">o final da obra, antes da sua entrega provisória, a CONTRATADA </w:t>
      </w:r>
      <w:r w:rsidR="00D91619">
        <w:rPr>
          <w:rFonts w:ascii="Arial" w:hAnsi="Arial" w:cs="Arial"/>
          <w:sz w:val="22"/>
          <w:szCs w:val="22"/>
        </w:rPr>
        <w:t>d</w:t>
      </w:r>
      <w:r w:rsidR="00386901" w:rsidRPr="00386901">
        <w:rPr>
          <w:rFonts w:ascii="Arial" w:hAnsi="Arial" w:cs="Arial"/>
          <w:sz w:val="22"/>
          <w:szCs w:val="22"/>
        </w:rPr>
        <w:t>everá apresentar o Manual de Manutenção e Conservação e as Instruções de Operação e Uso, sendo que a sua apresentação deverá obedecer ao roteiro a seguir: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a) o Manual de Manutenção e Conservação deverá reunir as especificações dos fabricantes de todos os equipamentos, as normas técnicas pertinentes, os termos de garantia e a rede nacional de assistência técnica, bem como as recomendações de manutenção e conservação de tais equipamentos;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ab/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b) as Instruções de Operação e Uso deverão reunir todas as recomendações fornecidas pelos fabricantes dos equipamentos acerca de seu funcionamento e operação, a fim de permitir sua adequada utilização.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ab/>
      </w: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Após o recebimento provisório da obra ou serviço, e até o seu recebimento definitivo, a CONTRATADA deverá fornecer toda a assistência técnica necessária à solução das imperfeições detectadas na vistoria final, bem como as surgidas neste período, independente de sua responsabilidade civil.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Deverá ser </w:t>
      </w:r>
      <w:proofErr w:type="gramStart"/>
      <w:r w:rsidRPr="00386901">
        <w:rPr>
          <w:rFonts w:ascii="Arial" w:hAnsi="Arial" w:cs="Arial"/>
          <w:sz w:val="22"/>
          <w:szCs w:val="22"/>
        </w:rPr>
        <w:t>providenciada baixas, junto ao CREA da região, da responsabilidade técnica de todos os envolvidos e registrados no conselho</w:t>
      </w:r>
      <w:proofErr w:type="gramEnd"/>
      <w:r w:rsidRPr="00386901">
        <w:rPr>
          <w:rFonts w:ascii="Arial" w:hAnsi="Arial" w:cs="Arial"/>
          <w:sz w:val="22"/>
          <w:szCs w:val="22"/>
        </w:rPr>
        <w:t>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A CONTRATADA entregará à FISCALIZAÇÃO DO DPF toda a documentação referente a essas providências, assim como todos os certificados de garantia oferecidos pelos </w:t>
      </w:r>
      <w:proofErr w:type="spellStart"/>
      <w:proofErr w:type="gramStart"/>
      <w:r w:rsidRPr="00386901">
        <w:rPr>
          <w:rFonts w:ascii="Arial" w:hAnsi="Arial" w:cs="Arial"/>
          <w:sz w:val="22"/>
          <w:szCs w:val="22"/>
        </w:rPr>
        <w:t>sub-empreiteiros</w:t>
      </w:r>
      <w:proofErr w:type="spellEnd"/>
      <w:proofErr w:type="gramEnd"/>
      <w:r w:rsidRPr="00386901">
        <w:rPr>
          <w:rFonts w:ascii="Arial" w:hAnsi="Arial" w:cs="Arial"/>
          <w:sz w:val="22"/>
          <w:szCs w:val="22"/>
        </w:rPr>
        <w:t xml:space="preserve"> e fornecedores, os quais sempre deverão ser emitidos em nome do DPF.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Imprevistos diversos serão de ônus exclusivo da CONTRATADA até o limite estabelecido no Edital de Licitação da Obra.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77262F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lastRenderedPageBreak/>
        <w:t>Serviços extras com ônus para o DPF, somente poderão ser executados, se autorizados expressamente pela autoridade competente.</w:t>
      </w:r>
    </w:p>
    <w:sectPr w:rsidR="00386901" w:rsidRPr="0077262F" w:rsidSect="00983539">
      <w:headerReference w:type="default" r:id="rId10"/>
      <w:footerReference w:type="default" r:id="rId11"/>
      <w:footnotePr>
        <w:pos w:val="beneathText"/>
      </w:footnotePr>
      <w:pgSz w:w="11905" w:h="16837"/>
      <w:pgMar w:top="1418" w:right="1701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9D" w:rsidRDefault="009A2A9D">
      <w:r>
        <w:separator/>
      </w:r>
    </w:p>
  </w:endnote>
  <w:endnote w:type="continuationSeparator" w:id="0">
    <w:p w:rsidR="009A2A9D" w:rsidRDefault="009A2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64" w:rsidRDefault="00077A78">
    <w:pPr>
      <w:pStyle w:val="Rodap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DEA</w:t>
    </w:r>
    <w:r w:rsidR="00317564">
      <w:rPr>
        <w:rFonts w:ascii="Arial" w:hAnsi="Arial" w:cs="Arial"/>
        <w:sz w:val="16"/>
        <w:szCs w:val="16"/>
        <w:u w:val="single"/>
      </w:rPr>
      <w:t xml:space="preserve">/CPLAM/DLOG/DPF                                                  </w:t>
    </w:r>
    <w:r>
      <w:rPr>
        <w:rFonts w:ascii="Arial" w:hAnsi="Arial" w:cs="Arial"/>
        <w:sz w:val="16"/>
        <w:szCs w:val="16"/>
        <w:u w:val="single"/>
      </w:rPr>
      <w:t xml:space="preserve">   </w:t>
    </w:r>
    <w:r w:rsidR="00317564">
      <w:rPr>
        <w:rFonts w:ascii="Arial" w:hAnsi="Arial" w:cs="Arial"/>
        <w:sz w:val="16"/>
        <w:szCs w:val="16"/>
        <w:u w:val="single"/>
      </w:rPr>
      <w:t xml:space="preserve">                                                              Especificação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9D" w:rsidRDefault="009A2A9D">
      <w:r>
        <w:separator/>
      </w:r>
    </w:p>
  </w:footnote>
  <w:footnote w:type="continuationSeparator" w:id="0">
    <w:p w:rsidR="009A2A9D" w:rsidRDefault="009A2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64" w:rsidRDefault="00485775">
    <w:pPr>
      <w:ind w:right="36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noProof/>
        <w:sz w:val="28"/>
        <w:szCs w:val="28"/>
        <w:lang w:eastAsia="pt-B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7564">
      <w:rPr>
        <w:rFonts w:ascii="Arial" w:hAnsi="Arial" w:cs="Arial"/>
        <w:sz w:val="28"/>
        <w:szCs w:val="28"/>
      </w:rPr>
      <w:tab/>
    </w:r>
    <w:r w:rsidR="00317564">
      <w:rPr>
        <w:rFonts w:ascii="Arial" w:hAnsi="Arial" w:cs="Arial"/>
        <w:sz w:val="28"/>
        <w:szCs w:val="28"/>
      </w:rPr>
      <w:tab/>
    </w:r>
    <w:r w:rsidR="003F4389" w:rsidRPr="003F438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1025" inset="0,0,0,0">
            <w:txbxContent>
              <w:p w:rsidR="00317564" w:rsidRDefault="00485775">
                <w:r>
                  <w:rPr>
                    <w:noProof/>
                    <w:lang w:eastAsia="pt-BR"/>
                  </w:rPr>
                  <w:drawing>
                    <wp:inline distT="0" distB="0" distL="0" distR="0">
                      <wp:extent cx="424180" cy="556260"/>
                      <wp:effectExtent l="19050" t="0" r="0" b="0"/>
                      <wp:docPr id="3" name="Imagem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418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317564">
      <w:rPr>
        <w:rFonts w:ascii="Arial" w:hAnsi="Arial" w:cs="Arial"/>
        <w:b/>
        <w:sz w:val="40"/>
        <w:szCs w:val="40"/>
      </w:rPr>
      <w:t>DPF</w:t>
    </w:r>
    <w:r w:rsidR="00317564">
      <w:rPr>
        <w:rFonts w:ascii="Arial" w:hAnsi="Arial" w:cs="Arial"/>
        <w:b/>
        <w:sz w:val="36"/>
        <w:szCs w:val="36"/>
      </w:rPr>
      <w:t xml:space="preserve"> </w:t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D1167">
      <w:rPr>
        <w:rFonts w:ascii="Arial" w:hAnsi="Arial" w:cs="Arial"/>
        <w:b/>
        <w:sz w:val="28"/>
        <w:szCs w:val="28"/>
      </w:rPr>
      <w:t xml:space="preserve">         </w:t>
    </w:r>
    <w:r w:rsidR="009D6188">
      <w:rPr>
        <w:rFonts w:ascii="Arial" w:hAnsi="Arial" w:cs="Arial"/>
        <w:b/>
        <w:sz w:val="28"/>
        <w:szCs w:val="28"/>
      </w:rPr>
      <w:t xml:space="preserve">               </w:t>
    </w:r>
    <w:r w:rsidR="003D1167" w:rsidRPr="003D1167">
      <w:rPr>
        <w:rFonts w:ascii="Arial" w:hAnsi="Arial" w:cs="Arial"/>
        <w:b/>
        <w:sz w:val="28"/>
        <w:szCs w:val="28"/>
      </w:rPr>
      <w:t>ANEXO V</w:t>
    </w:r>
    <w:r w:rsidR="00317564">
      <w:rPr>
        <w:rFonts w:ascii="Arial" w:hAnsi="Arial" w:cs="Arial"/>
        <w:b/>
        <w:sz w:val="36"/>
        <w:szCs w:val="36"/>
      </w:rPr>
      <w:t xml:space="preserve"> </w:t>
    </w:r>
  </w:p>
  <w:p w:rsidR="00317564" w:rsidRPr="004357FE" w:rsidRDefault="00317564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077A78">
      <w:rPr>
        <w:rFonts w:ascii="Arial" w:hAnsi="Arial" w:cs="Arial"/>
        <w:sz w:val="28"/>
        <w:szCs w:val="28"/>
      </w:rPr>
      <w:t>DEA</w:t>
    </w:r>
    <w:r w:rsidRPr="004357FE">
      <w:rPr>
        <w:rFonts w:ascii="Arial" w:hAnsi="Arial" w:cs="Arial"/>
        <w:sz w:val="28"/>
        <w:szCs w:val="28"/>
      </w:rPr>
      <w:t>/CPLAM/DLOG</w:t>
    </w:r>
  </w:p>
  <w:p w:rsidR="00317564" w:rsidRDefault="00317564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Layout w:type="fixed"/>
      <w:tblLook w:val="0000"/>
    </w:tblPr>
    <w:tblGrid>
      <w:gridCol w:w="4212"/>
      <w:gridCol w:w="4352"/>
    </w:tblGrid>
    <w:tr w:rsidR="00317564" w:rsidTr="003D1167">
      <w:trPr>
        <w:cantSplit/>
        <w:trHeight w:hRule="exact" w:val="413"/>
      </w:trPr>
      <w:tc>
        <w:tcPr>
          <w:tcW w:w="4212" w:type="dxa"/>
          <w:vMerge w:val="restart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</w:tcPr>
        <w:p w:rsidR="00317564" w:rsidRDefault="00317564" w:rsidP="00485775">
          <w:pPr>
            <w:snapToGrid w:val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Diretrizes Básicas para elaboração de Projeto </w:t>
          </w:r>
          <w:r w:rsidR="00D91619">
            <w:rPr>
              <w:rFonts w:ascii="Arial" w:hAnsi="Arial" w:cs="Arial"/>
              <w:b/>
            </w:rPr>
            <w:t xml:space="preserve">Executivo </w:t>
          </w:r>
          <w:r>
            <w:rPr>
              <w:rFonts w:ascii="Arial" w:hAnsi="Arial" w:cs="Arial"/>
              <w:b/>
            </w:rPr>
            <w:t xml:space="preserve">de Comunicação de Dados e Telefonia </w:t>
          </w:r>
        </w:p>
      </w:tc>
      <w:tc>
        <w:tcPr>
          <w:tcW w:w="435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801D4A" w:rsidRPr="003D1167" w:rsidRDefault="00077A78" w:rsidP="00F31A99">
          <w:pPr>
            <w:snapToGrid w:val="0"/>
            <w:ind w:left="-67" w:firstLine="67"/>
            <w:jc w:val="center"/>
            <w:rPr>
              <w:rFonts w:ascii="Arial" w:hAnsi="Arial" w:cs="Arial"/>
              <w:b/>
            </w:rPr>
          </w:pPr>
          <w:r w:rsidRPr="003D1167">
            <w:rPr>
              <w:rFonts w:ascii="Arial" w:hAnsi="Arial" w:cs="Arial"/>
              <w:b/>
            </w:rPr>
            <w:t>Projeto Básico</w:t>
          </w:r>
          <w:r w:rsidR="00801D4A" w:rsidRPr="003D1167">
            <w:rPr>
              <w:rFonts w:ascii="Arial" w:hAnsi="Arial" w:cs="Arial"/>
              <w:b/>
            </w:rPr>
            <w:t xml:space="preserve"> </w:t>
          </w:r>
          <w:r w:rsidRPr="003D1167">
            <w:rPr>
              <w:rFonts w:ascii="Arial" w:hAnsi="Arial" w:cs="Arial"/>
              <w:b/>
            </w:rPr>
            <w:t>0</w:t>
          </w:r>
          <w:r w:rsidR="00F31A99">
            <w:rPr>
              <w:rFonts w:ascii="Arial" w:hAnsi="Arial" w:cs="Arial"/>
              <w:b/>
            </w:rPr>
            <w:t>05</w:t>
          </w:r>
          <w:r w:rsidRPr="003D1167">
            <w:rPr>
              <w:rFonts w:ascii="Arial" w:hAnsi="Arial" w:cs="Arial"/>
              <w:b/>
            </w:rPr>
            <w:t>/201</w:t>
          </w:r>
          <w:r w:rsidR="00F31A99">
            <w:rPr>
              <w:rFonts w:ascii="Arial" w:hAnsi="Arial" w:cs="Arial"/>
              <w:b/>
            </w:rPr>
            <w:t>3</w:t>
          </w:r>
          <w:r w:rsidR="00801D4A" w:rsidRPr="003D1167">
            <w:rPr>
              <w:rFonts w:ascii="Arial" w:hAnsi="Arial" w:cs="Arial"/>
              <w:b/>
            </w:rPr>
            <w:t>/SEFIS</w:t>
          </w:r>
        </w:p>
      </w:tc>
    </w:tr>
    <w:tr w:rsidR="00317564" w:rsidTr="003D1167">
      <w:trPr>
        <w:cantSplit/>
      </w:trPr>
      <w:tc>
        <w:tcPr>
          <w:tcW w:w="4212" w:type="dxa"/>
          <w:vMerge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</w:tcPr>
        <w:p w:rsidR="00317564" w:rsidRDefault="00317564"/>
      </w:tc>
      <w:tc>
        <w:tcPr>
          <w:tcW w:w="4352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317564" w:rsidRPr="009D6188" w:rsidRDefault="009D6188" w:rsidP="003D1167">
          <w:pPr>
            <w:snapToGrid w:val="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Pá</w:t>
          </w:r>
          <w:r w:rsidR="00D91619" w:rsidRPr="009D6188">
            <w:rPr>
              <w:rFonts w:ascii="Arial" w:hAnsi="Arial" w:cs="Arial"/>
              <w:b/>
            </w:rPr>
            <w:t xml:space="preserve">gina </w:t>
          </w:r>
          <w:r w:rsidR="003F4389" w:rsidRPr="009D6188">
            <w:rPr>
              <w:rFonts w:ascii="Arial" w:hAnsi="Arial" w:cs="Arial"/>
              <w:b/>
            </w:rPr>
            <w:fldChar w:fldCharType="begin"/>
          </w:r>
          <w:r w:rsidR="00D91619" w:rsidRPr="009D6188">
            <w:rPr>
              <w:rFonts w:ascii="Arial" w:hAnsi="Arial" w:cs="Arial"/>
              <w:b/>
            </w:rPr>
            <w:instrText xml:space="preserve"> PAGE   \* MERGEFORMAT </w:instrText>
          </w:r>
          <w:r w:rsidR="003F4389" w:rsidRPr="009D6188">
            <w:rPr>
              <w:rFonts w:ascii="Arial" w:hAnsi="Arial" w:cs="Arial"/>
              <w:b/>
            </w:rPr>
            <w:fldChar w:fldCharType="separate"/>
          </w:r>
          <w:r w:rsidR="00112115">
            <w:rPr>
              <w:rFonts w:ascii="Arial" w:hAnsi="Arial" w:cs="Arial"/>
              <w:b/>
              <w:noProof/>
            </w:rPr>
            <w:t>1</w:t>
          </w:r>
          <w:r w:rsidR="003F4389" w:rsidRPr="009D6188">
            <w:rPr>
              <w:rFonts w:ascii="Arial" w:hAnsi="Arial" w:cs="Arial"/>
              <w:b/>
            </w:rPr>
            <w:fldChar w:fldCharType="end"/>
          </w:r>
          <w:r w:rsidR="00D91619" w:rsidRPr="009D6188">
            <w:rPr>
              <w:rFonts w:ascii="Arial" w:hAnsi="Arial" w:cs="Arial"/>
              <w:b/>
            </w:rPr>
            <w:t xml:space="preserve"> / 10</w:t>
          </w:r>
        </w:p>
      </w:tc>
    </w:tr>
  </w:tbl>
  <w:p w:rsidR="00317564" w:rsidRDefault="0031756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F85A35"/>
    <w:multiLevelType w:val="hybridMultilevel"/>
    <w:tmpl w:val="F432C0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D1066D"/>
    <w:multiLevelType w:val="hybridMultilevel"/>
    <w:tmpl w:val="63341FB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8D2192"/>
    <w:multiLevelType w:val="hybridMultilevel"/>
    <w:tmpl w:val="4C02542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076412"/>
    <w:multiLevelType w:val="hybridMultilevel"/>
    <w:tmpl w:val="BC9C5CF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767561"/>
    <w:multiLevelType w:val="hybridMultilevel"/>
    <w:tmpl w:val="941C90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D43E54"/>
    <w:multiLevelType w:val="hybridMultilevel"/>
    <w:tmpl w:val="D1D435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4745C2"/>
    <w:multiLevelType w:val="hybridMultilevel"/>
    <w:tmpl w:val="D9FEA3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81081C"/>
    <w:multiLevelType w:val="hybridMultilevel"/>
    <w:tmpl w:val="7AA2178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EB6BD3"/>
    <w:multiLevelType w:val="hybridMultilevel"/>
    <w:tmpl w:val="84D8B6A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647479"/>
    <w:multiLevelType w:val="multilevel"/>
    <w:tmpl w:val="0C209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130266EB"/>
    <w:multiLevelType w:val="hybridMultilevel"/>
    <w:tmpl w:val="3B3259B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B132EF"/>
    <w:multiLevelType w:val="hybridMultilevel"/>
    <w:tmpl w:val="8EDABE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864066"/>
    <w:multiLevelType w:val="hybridMultilevel"/>
    <w:tmpl w:val="838064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A95167"/>
    <w:multiLevelType w:val="hybridMultilevel"/>
    <w:tmpl w:val="655C015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E77AC1"/>
    <w:multiLevelType w:val="hybridMultilevel"/>
    <w:tmpl w:val="21FE8B7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E801BD"/>
    <w:multiLevelType w:val="hybridMultilevel"/>
    <w:tmpl w:val="B4BE930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177039"/>
    <w:multiLevelType w:val="hybridMultilevel"/>
    <w:tmpl w:val="36F8417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D823563"/>
    <w:multiLevelType w:val="hybridMultilevel"/>
    <w:tmpl w:val="938497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E8048E2"/>
    <w:multiLevelType w:val="hybridMultilevel"/>
    <w:tmpl w:val="B31CA87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EDF079F"/>
    <w:multiLevelType w:val="hybridMultilevel"/>
    <w:tmpl w:val="3B6612B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A621BF"/>
    <w:multiLevelType w:val="hybridMultilevel"/>
    <w:tmpl w:val="BC30ED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9162B8"/>
    <w:multiLevelType w:val="hybridMultilevel"/>
    <w:tmpl w:val="15302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121833"/>
    <w:multiLevelType w:val="hybridMultilevel"/>
    <w:tmpl w:val="168678C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B03F8C"/>
    <w:multiLevelType w:val="hybridMultilevel"/>
    <w:tmpl w:val="3342D92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F7974CA"/>
    <w:multiLevelType w:val="hybridMultilevel"/>
    <w:tmpl w:val="9A94A1A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475467"/>
    <w:multiLevelType w:val="hybridMultilevel"/>
    <w:tmpl w:val="9776191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8A2098"/>
    <w:multiLevelType w:val="hybridMultilevel"/>
    <w:tmpl w:val="55D8991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94254EF"/>
    <w:multiLevelType w:val="hybridMultilevel"/>
    <w:tmpl w:val="2AD45AF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9996EE3"/>
    <w:multiLevelType w:val="hybridMultilevel"/>
    <w:tmpl w:val="AB7EB5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A97522"/>
    <w:multiLevelType w:val="hybridMultilevel"/>
    <w:tmpl w:val="DF020D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FE0C67"/>
    <w:multiLevelType w:val="hybridMultilevel"/>
    <w:tmpl w:val="D6AE57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F42FA7"/>
    <w:multiLevelType w:val="hybridMultilevel"/>
    <w:tmpl w:val="97CCE5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7096375"/>
    <w:multiLevelType w:val="hybridMultilevel"/>
    <w:tmpl w:val="9E4EC4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650501"/>
    <w:multiLevelType w:val="hybridMultilevel"/>
    <w:tmpl w:val="6E1EE99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CC90E0B"/>
    <w:multiLevelType w:val="hybridMultilevel"/>
    <w:tmpl w:val="F7CAC9A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0824C33"/>
    <w:multiLevelType w:val="hybridMultilevel"/>
    <w:tmpl w:val="2CE236B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0AB6AF7"/>
    <w:multiLevelType w:val="hybridMultilevel"/>
    <w:tmpl w:val="99B064E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97BFF"/>
    <w:multiLevelType w:val="hybridMultilevel"/>
    <w:tmpl w:val="70D64F1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3C8780D"/>
    <w:multiLevelType w:val="hybridMultilevel"/>
    <w:tmpl w:val="947A81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4476411"/>
    <w:multiLevelType w:val="hybridMultilevel"/>
    <w:tmpl w:val="6BA4FF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061E5"/>
    <w:multiLevelType w:val="hybridMultilevel"/>
    <w:tmpl w:val="D3B20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92A6620"/>
    <w:multiLevelType w:val="hybridMultilevel"/>
    <w:tmpl w:val="593CAC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462BBD"/>
    <w:multiLevelType w:val="hybridMultilevel"/>
    <w:tmpl w:val="4F6401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CF32851"/>
    <w:multiLevelType w:val="hybridMultilevel"/>
    <w:tmpl w:val="B2B45A2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0569AC"/>
    <w:multiLevelType w:val="hybridMultilevel"/>
    <w:tmpl w:val="5518CBF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41725B"/>
    <w:multiLevelType w:val="hybridMultilevel"/>
    <w:tmpl w:val="B1E645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4C779B"/>
    <w:multiLevelType w:val="multilevel"/>
    <w:tmpl w:val="6CDA78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>
    <w:nsid w:val="655A7635"/>
    <w:multiLevelType w:val="hybridMultilevel"/>
    <w:tmpl w:val="37CACCA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73C3564"/>
    <w:multiLevelType w:val="hybridMultilevel"/>
    <w:tmpl w:val="D0E6B1F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E261B8"/>
    <w:multiLevelType w:val="hybridMultilevel"/>
    <w:tmpl w:val="5770EC2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F4355C"/>
    <w:multiLevelType w:val="hybridMultilevel"/>
    <w:tmpl w:val="99BEA4A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90073E9"/>
    <w:multiLevelType w:val="hybridMultilevel"/>
    <w:tmpl w:val="F19A3B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E5744E2"/>
    <w:multiLevelType w:val="hybridMultilevel"/>
    <w:tmpl w:val="94E817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59227C"/>
    <w:multiLevelType w:val="hybridMultilevel"/>
    <w:tmpl w:val="46CC561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187207F"/>
    <w:multiLevelType w:val="hybridMultilevel"/>
    <w:tmpl w:val="A5EA8D2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21C6937"/>
    <w:multiLevelType w:val="hybridMultilevel"/>
    <w:tmpl w:val="606CAA6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5022F66"/>
    <w:multiLevelType w:val="hybridMultilevel"/>
    <w:tmpl w:val="280E0A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77F20B9"/>
    <w:multiLevelType w:val="hybridMultilevel"/>
    <w:tmpl w:val="0478D43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D0198A"/>
    <w:multiLevelType w:val="hybridMultilevel"/>
    <w:tmpl w:val="024EB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AFF60F0"/>
    <w:multiLevelType w:val="hybridMultilevel"/>
    <w:tmpl w:val="63CE59F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2425C"/>
    <w:multiLevelType w:val="hybridMultilevel"/>
    <w:tmpl w:val="15B05D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E236B5F"/>
    <w:multiLevelType w:val="hybridMultilevel"/>
    <w:tmpl w:val="F7F27F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F290F29"/>
    <w:multiLevelType w:val="hybridMultilevel"/>
    <w:tmpl w:val="858844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6"/>
  </w:num>
  <w:num w:numId="4">
    <w:abstractNumId w:val="45"/>
  </w:num>
  <w:num w:numId="5">
    <w:abstractNumId w:val="43"/>
  </w:num>
  <w:num w:numId="6">
    <w:abstractNumId w:val="13"/>
  </w:num>
  <w:num w:numId="7">
    <w:abstractNumId w:val="25"/>
  </w:num>
  <w:num w:numId="8">
    <w:abstractNumId w:val="59"/>
  </w:num>
  <w:num w:numId="9">
    <w:abstractNumId w:val="24"/>
  </w:num>
  <w:num w:numId="10">
    <w:abstractNumId w:val="41"/>
  </w:num>
  <w:num w:numId="11">
    <w:abstractNumId w:val="55"/>
  </w:num>
  <w:num w:numId="12">
    <w:abstractNumId w:val="18"/>
  </w:num>
  <w:num w:numId="13">
    <w:abstractNumId w:val="22"/>
  </w:num>
  <w:num w:numId="14">
    <w:abstractNumId w:val="60"/>
  </w:num>
  <w:num w:numId="15">
    <w:abstractNumId w:val="51"/>
  </w:num>
  <w:num w:numId="16">
    <w:abstractNumId w:val="33"/>
  </w:num>
  <w:num w:numId="17">
    <w:abstractNumId w:val="61"/>
  </w:num>
  <w:num w:numId="18">
    <w:abstractNumId w:val="14"/>
  </w:num>
  <w:num w:numId="19">
    <w:abstractNumId w:val="29"/>
  </w:num>
  <w:num w:numId="20">
    <w:abstractNumId w:val="32"/>
  </w:num>
  <w:num w:numId="21">
    <w:abstractNumId w:val="57"/>
  </w:num>
  <w:num w:numId="22">
    <w:abstractNumId w:val="50"/>
  </w:num>
  <w:num w:numId="23">
    <w:abstractNumId w:val="38"/>
  </w:num>
  <w:num w:numId="24">
    <w:abstractNumId w:val="63"/>
  </w:num>
  <w:num w:numId="25">
    <w:abstractNumId w:val="54"/>
  </w:num>
  <w:num w:numId="26">
    <w:abstractNumId w:val="64"/>
  </w:num>
  <w:num w:numId="27">
    <w:abstractNumId w:val="12"/>
  </w:num>
  <w:num w:numId="28">
    <w:abstractNumId w:val="68"/>
  </w:num>
  <w:num w:numId="29">
    <w:abstractNumId w:val="8"/>
  </w:num>
  <w:num w:numId="30">
    <w:abstractNumId w:val="35"/>
  </w:num>
  <w:num w:numId="31">
    <w:abstractNumId w:val="49"/>
  </w:num>
  <w:num w:numId="32">
    <w:abstractNumId w:val="48"/>
  </w:num>
  <w:num w:numId="33">
    <w:abstractNumId w:val="7"/>
  </w:num>
  <w:num w:numId="34">
    <w:abstractNumId w:val="11"/>
  </w:num>
  <w:num w:numId="35">
    <w:abstractNumId w:val="9"/>
  </w:num>
  <w:num w:numId="36">
    <w:abstractNumId w:val="37"/>
  </w:num>
  <w:num w:numId="37">
    <w:abstractNumId w:val="21"/>
  </w:num>
  <w:num w:numId="38">
    <w:abstractNumId w:val="47"/>
  </w:num>
  <w:num w:numId="39">
    <w:abstractNumId w:val="34"/>
  </w:num>
  <w:num w:numId="40">
    <w:abstractNumId w:val="26"/>
  </w:num>
  <w:num w:numId="41">
    <w:abstractNumId w:val="66"/>
  </w:num>
  <w:num w:numId="42">
    <w:abstractNumId w:val="42"/>
  </w:num>
  <w:num w:numId="43">
    <w:abstractNumId w:val="10"/>
  </w:num>
  <w:num w:numId="44">
    <w:abstractNumId w:val="56"/>
  </w:num>
  <w:num w:numId="45">
    <w:abstractNumId w:val="44"/>
  </w:num>
  <w:num w:numId="46">
    <w:abstractNumId w:val="17"/>
  </w:num>
  <w:num w:numId="47">
    <w:abstractNumId w:val="30"/>
  </w:num>
  <w:num w:numId="48">
    <w:abstractNumId w:val="39"/>
  </w:num>
  <w:num w:numId="49">
    <w:abstractNumId w:val="15"/>
  </w:num>
  <w:num w:numId="50">
    <w:abstractNumId w:val="69"/>
  </w:num>
  <w:num w:numId="51">
    <w:abstractNumId w:val="31"/>
  </w:num>
  <w:num w:numId="52">
    <w:abstractNumId w:val="36"/>
  </w:num>
  <w:num w:numId="53">
    <w:abstractNumId w:val="40"/>
  </w:num>
  <w:num w:numId="54">
    <w:abstractNumId w:val="20"/>
  </w:num>
  <w:num w:numId="55">
    <w:abstractNumId w:val="62"/>
  </w:num>
  <w:num w:numId="56">
    <w:abstractNumId w:val="23"/>
  </w:num>
  <w:num w:numId="57">
    <w:abstractNumId w:val="53"/>
  </w:num>
  <w:num w:numId="58">
    <w:abstractNumId w:val="16"/>
  </w:num>
  <w:num w:numId="59">
    <w:abstractNumId w:val="19"/>
  </w:num>
  <w:num w:numId="60">
    <w:abstractNumId w:val="52"/>
  </w:num>
  <w:num w:numId="61">
    <w:abstractNumId w:val="67"/>
  </w:num>
  <w:num w:numId="62">
    <w:abstractNumId w:val="27"/>
  </w:num>
  <w:num w:numId="63">
    <w:abstractNumId w:val="28"/>
  </w:num>
  <w:num w:numId="64">
    <w:abstractNumId w:val="65"/>
  </w:num>
  <w:num w:numId="65">
    <w:abstractNumId w:val="58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C1BB4"/>
    <w:rsid w:val="000115D6"/>
    <w:rsid w:val="00017EC7"/>
    <w:rsid w:val="000401FB"/>
    <w:rsid w:val="000426ED"/>
    <w:rsid w:val="00044FFB"/>
    <w:rsid w:val="000500FE"/>
    <w:rsid w:val="0005387B"/>
    <w:rsid w:val="000629EA"/>
    <w:rsid w:val="00064F53"/>
    <w:rsid w:val="000770A4"/>
    <w:rsid w:val="00077A78"/>
    <w:rsid w:val="00077C04"/>
    <w:rsid w:val="00083AC1"/>
    <w:rsid w:val="000B673E"/>
    <w:rsid w:val="000C6CA5"/>
    <w:rsid w:val="000D1D19"/>
    <w:rsid w:val="000E1BAB"/>
    <w:rsid w:val="00105598"/>
    <w:rsid w:val="00112115"/>
    <w:rsid w:val="0011280C"/>
    <w:rsid w:val="00116612"/>
    <w:rsid w:val="00131970"/>
    <w:rsid w:val="001349BD"/>
    <w:rsid w:val="00135DBB"/>
    <w:rsid w:val="00153239"/>
    <w:rsid w:val="00153F18"/>
    <w:rsid w:val="00180B0E"/>
    <w:rsid w:val="0018652C"/>
    <w:rsid w:val="00195DCD"/>
    <w:rsid w:val="001A453D"/>
    <w:rsid w:val="001B0A99"/>
    <w:rsid w:val="001B1C21"/>
    <w:rsid w:val="001B35EA"/>
    <w:rsid w:val="001B5472"/>
    <w:rsid w:val="001B69E4"/>
    <w:rsid w:val="001C049E"/>
    <w:rsid w:val="001C19B2"/>
    <w:rsid w:val="001C50A0"/>
    <w:rsid w:val="001D25D3"/>
    <w:rsid w:val="001F512D"/>
    <w:rsid w:val="0020148F"/>
    <w:rsid w:val="00201F05"/>
    <w:rsid w:val="002369D2"/>
    <w:rsid w:val="0024130E"/>
    <w:rsid w:val="00271F8B"/>
    <w:rsid w:val="002732DE"/>
    <w:rsid w:val="00274F2E"/>
    <w:rsid w:val="00291A69"/>
    <w:rsid w:val="002A70BF"/>
    <w:rsid w:val="002C6DF9"/>
    <w:rsid w:val="002D4252"/>
    <w:rsid w:val="002D4B31"/>
    <w:rsid w:val="002D7A26"/>
    <w:rsid w:val="002D7E4C"/>
    <w:rsid w:val="002E19BE"/>
    <w:rsid w:val="002F1969"/>
    <w:rsid w:val="00305218"/>
    <w:rsid w:val="00313B2C"/>
    <w:rsid w:val="00317564"/>
    <w:rsid w:val="003242E3"/>
    <w:rsid w:val="00331514"/>
    <w:rsid w:val="00346EBB"/>
    <w:rsid w:val="0034736D"/>
    <w:rsid w:val="003658CD"/>
    <w:rsid w:val="00374221"/>
    <w:rsid w:val="00381600"/>
    <w:rsid w:val="003826A2"/>
    <w:rsid w:val="00386901"/>
    <w:rsid w:val="003943B9"/>
    <w:rsid w:val="003A6B31"/>
    <w:rsid w:val="003C474D"/>
    <w:rsid w:val="003D1167"/>
    <w:rsid w:val="003D4FB9"/>
    <w:rsid w:val="003F4389"/>
    <w:rsid w:val="00403684"/>
    <w:rsid w:val="004049EE"/>
    <w:rsid w:val="004247FC"/>
    <w:rsid w:val="004357FE"/>
    <w:rsid w:val="0045349B"/>
    <w:rsid w:val="004616C3"/>
    <w:rsid w:val="0047623E"/>
    <w:rsid w:val="0048063D"/>
    <w:rsid w:val="00485775"/>
    <w:rsid w:val="00492C1E"/>
    <w:rsid w:val="004B1D49"/>
    <w:rsid w:val="004B594E"/>
    <w:rsid w:val="004C70A7"/>
    <w:rsid w:val="004C72A2"/>
    <w:rsid w:val="004E1FB1"/>
    <w:rsid w:val="004F5469"/>
    <w:rsid w:val="004F54C3"/>
    <w:rsid w:val="00501666"/>
    <w:rsid w:val="00503318"/>
    <w:rsid w:val="00506432"/>
    <w:rsid w:val="005527C6"/>
    <w:rsid w:val="00572CB2"/>
    <w:rsid w:val="00575295"/>
    <w:rsid w:val="005B3EE7"/>
    <w:rsid w:val="005B5913"/>
    <w:rsid w:val="005D4028"/>
    <w:rsid w:val="00623779"/>
    <w:rsid w:val="006438D7"/>
    <w:rsid w:val="00650B7B"/>
    <w:rsid w:val="006529CA"/>
    <w:rsid w:val="00681D40"/>
    <w:rsid w:val="006937A0"/>
    <w:rsid w:val="006C1249"/>
    <w:rsid w:val="006C63C1"/>
    <w:rsid w:val="006D7CF0"/>
    <w:rsid w:val="006E4363"/>
    <w:rsid w:val="006E60DC"/>
    <w:rsid w:val="006E626C"/>
    <w:rsid w:val="006F4833"/>
    <w:rsid w:val="007077EC"/>
    <w:rsid w:val="00722584"/>
    <w:rsid w:val="00727D0A"/>
    <w:rsid w:val="007366F0"/>
    <w:rsid w:val="00747FC1"/>
    <w:rsid w:val="00751307"/>
    <w:rsid w:val="00754B5F"/>
    <w:rsid w:val="00757649"/>
    <w:rsid w:val="0076420A"/>
    <w:rsid w:val="00764C22"/>
    <w:rsid w:val="0077262F"/>
    <w:rsid w:val="00775E1B"/>
    <w:rsid w:val="007932E1"/>
    <w:rsid w:val="00795694"/>
    <w:rsid w:val="007C1BB4"/>
    <w:rsid w:val="007C3966"/>
    <w:rsid w:val="007E7A8E"/>
    <w:rsid w:val="007F6A9B"/>
    <w:rsid w:val="00801D4A"/>
    <w:rsid w:val="008035E8"/>
    <w:rsid w:val="00803A19"/>
    <w:rsid w:val="00813C5E"/>
    <w:rsid w:val="00823023"/>
    <w:rsid w:val="008457EB"/>
    <w:rsid w:val="00853A9F"/>
    <w:rsid w:val="00856641"/>
    <w:rsid w:val="00861D53"/>
    <w:rsid w:val="008715D5"/>
    <w:rsid w:val="008843B5"/>
    <w:rsid w:val="008C6438"/>
    <w:rsid w:val="008F14EB"/>
    <w:rsid w:val="00933065"/>
    <w:rsid w:val="009334F5"/>
    <w:rsid w:val="00950695"/>
    <w:rsid w:val="00956ED9"/>
    <w:rsid w:val="00983539"/>
    <w:rsid w:val="00985287"/>
    <w:rsid w:val="009A2A9D"/>
    <w:rsid w:val="009B2EEB"/>
    <w:rsid w:val="009B4F12"/>
    <w:rsid w:val="009D091E"/>
    <w:rsid w:val="009D1D5F"/>
    <w:rsid w:val="009D6188"/>
    <w:rsid w:val="009D72A9"/>
    <w:rsid w:val="009F4E08"/>
    <w:rsid w:val="00A04203"/>
    <w:rsid w:val="00A219DC"/>
    <w:rsid w:val="00A24474"/>
    <w:rsid w:val="00A27980"/>
    <w:rsid w:val="00A67F1C"/>
    <w:rsid w:val="00A7289F"/>
    <w:rsid w:val="00A83F4C"/>
    <w:rsid w:val="00A91563"/>
    <w:rsid w:val="00AE26D8"/>
    <w:rsid w:val="00B0480F"/>
    <w:rsid w:val="00B24655"/>
    <w:rsid w:val="00B26472"/>
    <w:rsid w:val="00B4024B"/>
    <w:rsid w:val="00B51015"/>
    <w:rsid w:val="00B6266B"/>
    <w:rsid w:val="00B80A9F"/>
    <w:rsid w:val="00BA0457"/>
    <w:rsid w:val="00BB5B8A"/>
    <w:rsid w:val="00BC2C09"/>
    <w:rsid w:val="00BD1028"/>
    <w:rsid w:val="00BD5F1D"/>
    <w:rsid w:val="00BF7C97"/>
    <w:rsid w:val="00C048C5"/>
    <w:rsid w:val="00C05CAC"/>
    <w:rsid w:val="00C12A2B"/>
    <w:rsid w:val="00C21199"/>
    <w:rsid w:val="00C21364"/>
    <w:rsid w:val="00C4224F"/>
    <w:rsid w:val="00C43FDD"/>
    <w:rsid w:val="00C44E0C"/>
    <w:rsid w:val="00C63420"/>
    <w:rsid w:val="00CA0798"/>
    <w:rsid w:val="00CF013C"/>
    <w:rsid w:val="00CF70DC"/>
    <w:rsid w:val="00D30DA2"/>
    <w:rsid w:val="00D31D21"/>
    <w:rsid w:val="00D427AE"/>
    <w:rsid w:val="00D53019"/>
    <w:rsid w:val="00D824A5"/>
    <w:rsid w:val="00D83BEE"/>
    <w:rsid w:val="00D901D4"/>
    <w:rsid w:val="00D91619"/>
    <w:rsid w:val="00D92922"/>
    <w:rsid w:val="00DA0E9B"/>
    <w:rsid w:val="00DB22FD"/>
    <w:rsid w:val="00DB55FB"/>
    <w:rsid w:val="00DB798C"/>
    <w:rsid w:val="00DC34E9"/>
    <w:rsid w:val="00DD5220"/>
    <w:rsid w:val="00DE3817"/>
    <w:rsid w:val="00DF0645"/>
    <w:rsid w:val="00DF7B9E"/>
    <w:rsid w:val="00E073FC"/>
    <w:rsid w:val="00E31BC1"/>
    <w:rsid w:val="00E91402"/>
    <w:rsid w:val="00E9729E"/>
    <w:rsid w:val="00EA1421"/>
    <w:rsid w:val="00EA38D9"/>
    <w:rsid w:val="00EA6C73"/>
    <w:rsid w:val="00ED50D2"/>
    <w:rsid w:val="00EE1E8E"/>
    <w:rsid w:val="00EE531A"/>
    <w:rsid w:val="00EF4681"/>
    <w:rsid w:val="00EF66BD"/>
    <w:rsid w:val="00F02CE1"/>
    <w:rsid w:val="00F0578A"/>
    <w:rsid w:val="00F06B35"/>
    <w:rsid w:val="00F11127"/>
    <w:rsid w:val="00F17E68"/>
    <w:rsid w:val="00F315EA"/>
    <w:rsid w:val="00F31A99"/>
    <w:rsid w:val="00F61251"/>
    <w:rsid w:val="00F65B02"/>
    <w:rsid w:val="00F7530E"/>
    <w:rsid w:val="00F815FB"/>
    <w:rsid w:val="00F91515"/>
    <w:rsid w:val="00FB384B"/>
    <w:rsid w:val="00FC3D4E"/>
    <w:rsid w:val="00FF2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3539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983539"/>
    <w:pPr>
      <w:tabs>
        <w:tab w:val="num" w:pos="360"/>
      </w:tabs>
      <w:spacing w:before="240" w:after="120"/>
      <w:outlineLvl w:val="0"/>
    </w:pPr>
    <w:rPr>
      <w:rFonts w:ascii="Arial" w:hAnsi="Arial" w:cs="Arial"/>
      <w:b/>
      <w:bCs/>
      <w:kern w:val="1"/>
      <w:sz w:val="20"/>
      <w:szCs w:val="32"/>
    </w:rPr>
  </w:style>
  <w:style w:type="paragraph" w:styleId="Ttulo3">
    <w:name w:val="heading 3"/>
    <w:basedOn w:val="Ttulo"/>
    <w:next w:val="Corpodetexto"/>
    <w:qFormat/>
    <w:rsid w:val="00983539"/>
    <w:pPr>
      <w:tabs>
        <w:tab w:val="num" w:pos="0"/>
      </w:tabs>
      <w:outlineLvl w:val="2"/>
    </w:pPr>
    <w:rPr>
      <w:rFonts w:ascii="Times New Roman" w:hAnsi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983539"/>
  </w:style>
  <w:style w:type="character" w:customStyle="1" w:styleId="WW-Absatz-Standardschriftart">
    <w:name w:val="WW-Absatz-Standardschriftart"/>
    <w:rsid w:val="00983539"/>
  </w:style>
  <w:style w:type="character" w:customStyle="1" w:styleId="WW-Absatz-Standardschriftart1">
    <w:name w:val="WW-Absatz-Standardschriftart1"/>
    <w:rsid w:val="00983539"/>
  </w:style>
  <w:style w:type="character" w:customStyle="1" w:styleId="WW-Absatz-Standardschriftart11">
    <w:name w:val="WW-Absatz-Standardschriftart11"/>
    <w:rsid w:val="00983539"/>
  </w:style>
  <w:style w:type="character" w:customStyle="1" w:styleId="WW-Absatz-Standardschriftart111">
    <w:name w:val="WW-Absatz-Standardschriftart111"/>
    <w:rsid w:val="00983539"/>
  </w:style>
  <w:style w:type="character" w:customStyle="1" w:styleId="WW-Absatz-Standardschriftart1111">
    <w:name w:val="WW-Absatz-Standardschriftart1111"/>
    <w:rsid w:val="00983539"/>
  </w:style>
  <w:style w:type="character" w:customStyle="1" w:styleId="WW-Absatz-Standardschriftart11111">
    <w:name w:val="WW-Absatz-Standardschriftart11111"/>
    <w:rsid w:val="00983539"/>
  </w:style>
  <w:style w:type="character" w:customStyle="1" w:styleId="WW-Absatz-Standardschriftart111111">
    <w:name w:val="WW-Absatz-Standardschriftart111111"/>
    <w:rsid w:val="00983539"/>
  </w:style>
  <w:style w:type="character" w:customStyle="1" w:styleId="Fontepargpadro2">
    <w:name w:val="Fonte parág. padrão2"/>
    <w:rsid w:val="00983539"/>
  </w:style>
  <w:style w:type="character" w:customStyle="1" w:styleId="Fontepargpadro1">
    <w:name w:val="Fonte parág. padrão1"/>
    <w:rsid w:val="00983539"/>
  </w:style>
  <w:style w:type="character" w:styleId="Nmerodepgina">
    <w:name w:val="page number"/>
    <w:basedOn w:val="Fontepargpadro1"/>
    <w:rsid w:val="00983539"/>
  </w:style>
  <w:style w:type="character" w:customStyle="1" w:styleId="Marcadores">
    <w:name w:val="Marcadores"/>
    <w:rsid w:val="00983539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sid w:val="00983539"/>
    <w:rPr>
      <w:rFonts w:ascii="Symbol" w:hAnsi="Symbol"/>
    </w:rPr>
  </w:style>
  <w:style w:type="character" w:customStyle="1" w:styleId="A10">
    <w:name w:val="A10"/>
    <w:rsid w:val="00983539"/>
    <w:rPr>
      <w:rFonts w:cs="Swis721 BT"/>
      <w:color w:val="000000"/>
      <w:sz w:val="19"/>
      <w:szCs w:val="19"/>
    </w:rPr>
  </w:style>
  <w:style w:type="character" w:customStyle="1" w:styleId="A1">
    <w:name w:val="A1"/>
    <w:rsid w:val="00983539"/>
    <w:rPr>
      <w:rFonts w:cs="Swis721 BT"/>
      <w:color w:val="000000"/>
      <w:sz w:val="20"/>
      <w:szCs w:val="20"/>
    </w:rPr>
  </w:style>
  <w:style w:type="character" w:customStyle="1" w:styleId="A8">
    <w:name w:val="A8"/>
    <w:rsid w:val="00983539"/>
    <w:rPr>
      <w:rFonts w:cs="Swis721 BT"/>
      <w:color w:val="000000"/>
      <w:sz w:val="32"/>
      <w:szCs w:val="32"/>
    </w:rPr>
  </w:style>
  <w:style w:type="character" w:customStyle="1" w:styleId="A11">
    <w:name w:val="A11"/>
    <w:rsid w:val="00983539"/>
    <w:rPr>
      <w:rFonts w:cs="Swis721 BT"/>
      <w:color w:val="000000"/>
      <w:sz w:val="22"/>
      <w:szCs w:val="22"/>
    </w:rPr>
  </w:style>
  <w:style w:type="character" w:customStyle="1" w:styleId="A12">
    <w:name w:val="A12"/>
    <w:rsid w:val="00983539"/>
    <w:rPr>
      <w:rFonts w:cs="Swis721 Blk BT"/>
      <w:color w:val="000000"/>
      <w:sz w:val="46"/>
      <w:szCs w:val="46"/>
    </w:rPr>
  </w:style>
  <w:style w:type="character" w:customStyle="1" w:styleId="Smbolosdenumerao">
    <w:name w:val="Símbolos de numeração"/>
    <w:rsid w:val="00983539"/>
  </w:style>
  <w:style w:type="paragraph" w:customStyle="1" w:styleId="Captulo">
    <w:name w:val="Capítulo"/>
    <w:basedOn w:val="Normal"/>
    <w:next w:val="Corpodetexto"/>
    <w:rsid w:val="0098353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983539"/>
    <w:pPr>
      <w:spacing w:after="120"/>
    </w:pPr>
  </w:style>
  <w:style w:type="paragraph" w:styleId="Lista">
    <w:name w:val="List"/>
    <w:basedOn w:val="Corpodetexto"/>
    <w:rsid w:val="00983539"/>
    <w:rPr>
      <w:rFonts w:cs="Tahoma"/>
    </w:rPr>
  </w:style>
  <w:style w:type="paragraph" w:customStyle="1" w:styleId="Legenda2">
    <w:name w:val="Legenda2"/>
    <w:basedOn w:val="Normal"/>
    <w:rsid w:val="00983539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983539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983539"/>
    <w:pPr>
      <w:keepNext/>
      <w:spacing w:before="240" w:after="283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983539"/>
    <w:pPr>
      <w:jc w:val="center"/>
    </w:pPr>
    <w:rPr>
      <w:i/>
      <w:iCs/>
    </w:rPr>
  </w:style>
  <w:style w:type="paragraph" w:styleId="Cabealho">
    <w:name w:val="header"/>
    <w:basedOn w:val="Normal"/>
    <w:rsid w:val="0098353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8353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983539"/>
    <w:pPr>
      <w:suppressLineNumbers/>
    </w:pPr>
  </w:style>
  <w:style w:type="paragraph" w:customStyle="1" w:styleId="Ttulodatabela">
    <w:name w:val="Título da tabela"/>
    <w:basedOn w:val="Contedodatabela"/>
    <w:rsid w:val="00983539"/>
    <w:pPr>
      <w:jc w:val="center"/>
    </w:pPr>
    <w:rPr>
      <w:b/>
      <w:bCs/>
      <w:i/>
      <w:iCs/>
    </w:rPr>
  </w:style>
  <w:style w:type="paragraph" w:customStyle="1" w:styleId="Legenda1">
    <w:name w:val="Legenda1"/>
    <w:basedOn w:val="Normal"/>
    <w:rsid w:val="0098353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Contedodoquadro">
    <w:name w:val="Conteúdo do quadro"/>
    <w:basedOn w:val="Corpodetexto"/>
    <w:rsid w:val="00983539"/>
  </w:style>
  <w:style w:type="paragraph" w:customStyle="1" w:styleId="Default">
    <w:name w:val="Default"/>
    <w:rsid w:val="00983539"/>
    <w:pPr>
      <w:suppressAutoHyphens/>
      <w:autoSpaceDE w:val="0"/>
    </w:pPr>
    <w:rPr>
      <w:rFonts w:ascii="Swis721 BT" w:hAnsi="Swis721 BT" w:cs="Swis721 BT"/>
      <w:color w:val="000000"/>
      <w:sz w:val="24"/>
      <w:szCs w:val="24"/>
      <w:lang w:eastAsia="ar-SA"/>
    </w:rPr>
  </w:style>
  <w:style w:type="paragraph" w:customStyle="1" w:styleId="Pa16">
    <w:name w:val="Pa16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8">
    <w:name w:val="Pa8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1">
    <w:name w:val="Pa1"/>
    <w:basedOn w:val="Default"/>
    <w:next w:val="Default"/>
    <w:rsid w:val="00983539"/>
    <w:pPr>
      <w:spacing w:line="240" w:lineRule="atLeast"/>
    </w:pPr>
    <w:rPr>
      <w:rFonts w:ascii="Swis721 Blk BT" w:hAnsi="Swis721 Blk BT" w:cs="Times New Roman"/>
    </w:rPr>
  </w:style>
  <w:style w:type="paragraph" w:customStyle="1" w:styleId="Pa13">
    <w:name w:val="Pa13"/>
    <w:basedOn w:val="Default"/>
    <w:next w:val="Default"/>
    <w:rsid w:val="00983539"/>
    <w:pPr>
      <w:spacing w:after="160" w:line="240" w:lineRule="atLeast"/>
    </w:pPr>
    <w:rPr>
      <w:rFonts w:ascii="Swis721 Blk BT" w:hAnsi="Swis721 Blk BT" w:cs="Times New Roman"/>
    </w:rPr>
  </w:style>
  <w:style w:type="paragraph" w:customStyle="1" w:styleId="Pa2">
    <w:name w:val="Pa2"/>
    <w:basedOn w:val="Default"/>
    <w:next w:val="Default"/>
    <w:rsid w:val="00983539"/>
    <w:pPr>
      <w:spacing w:line="240" w:lineRule="atLeast"/>
    </w:pPr>
    <w:rPr>
      <w:rFonts w:ascii="Swis721 Blk BT" w:hAnsi="Swis721 Blk BT" w:cs="Times New Roman"/>
    </w:rPr>
  </w:style>
  <w:style w:type="paragraph" w:customStyle="1" w:styleId="Pa10">
    <w:name w:val="Pa10"/>
    <w:basedOn w:val="Default"/>
    <w:next w:val="Default"/>
    <w:rsid w:val="00983539"/>
    <w:pPr>
      <w:spacing w:before="100" w:line="240" w:lineRule="atLeast"/>
    </w:pPr>
    <w:rPr>
      <w:rFonts w:ascii="Swis721 Blk BT" w:hAnsi="Swis721 Blk BT" w:cs="Times New Roman"/>
    </w:rPr>
  </w:style>
  <w:style w:type="paragraph" w:customStyle="1" w:styleId="Pa3">
    <w:name w:val="Pa3"/>
    <w:basedOn w:val="Default"/>
    <w:next w:val="Default"/>
    <w:rsid w:val="00983539"/>
    <w:pPr>
      <w:spacing w:before="100" w:line="240" w:lineRule="atLeast"/>
    </w:pPr>
    <w:rPr>
      <w:rFonts w:ascii="Swis721 Blk BT" w:hAnsi="Swis721 Blk BT" w:cs="Times New Roman"/>
    </w:rPr>
  </w:style>
  <w:style w:type="paragraph" w:customStyle="1" w:styleId="Pa17">
    <w:name w:val="Pa17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19">
    <w:name w:val="Pa19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0">
    <w:name w:val="Pa20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5">
    <w:name w:val="Pa5"/>
    <w:basedOn w:val="Default"/>
    <w:next w:val="Default"/>
    <w:rsid w:val="00983539"/>
    <w:pPr>
      <w:spacing w:line="240" w:lineRule="atLeast"/>
    </w:pPr>
    <w:rPr>
      <w:rFonts w:cs="Times New Roman"/>
    </w:rPr>
  </w:style>
  <w:style w:type="paragraph" w:customStyle="1" w:styleId="Pa21">
    <w:name w:val="Pa21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2">
    <w:name w:val="Pa22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3">
    <w:name w:val="Pa23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styleId="Textodebalo">
    <w:name w:val="Balloon Text"/>
    <w:basedOn w:val="Normal"/>
    <w:link w:val="TextodebaloChar"/>
    <w:rsid w:val="00B80A9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80A9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57D58-EC25-4931-880B-FD08D02D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2751</Words>
  <Characters>14857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CONCEPÇÃO DO PRODUTO</vt:lpstr>
    </vt:vector>
  </TitlesOfParts>
  <Company>DPF</Company>
  <LinksUpToDate>false</LinksUpToDate>
  <CharactersWithSpaces>17573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CONCEPÇÃO DO PRODUTO</dc:title>
  <dc:subject/>
  <dc:creator>leonardo.laf</dc:creator>
  <cp:keywords/>
  <cp:lastModifiedBy>GIDSETEC</cp:lastModifiedBy>
  <cp:revision>9</cp:revision>
  <cp:lastPrinted>2008-10-30T15:37:00Z</cp:lastPrinted>
  <dcterms:created xsi:type="dcterms:W3CDTF">2011-10-06T14:22:00Z</dcterms:created>
  <dcterms:modified xsi:type="dcterms:W3CDTF">2013-10-03T18:14:00Z</dcterms:modified>
</cp:coreProperties>
</file>